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3DC16" w14:textId="77777777" w:rsidR="00B66E6C" w:rsidRDefault="00B66E6C" w:rsidP="0072714B">
      <w:pPr>
        <w:outlineLvl w:val="0"/>
        <w:rPr>
          <w:b/>
          <w:sz w:val="32"/>
          <w:szCs w:val="32"/>
          <w:lang w:val="en-GB"/>
        </w:rPr>
      </w:pPr>
    </w:p>
    <w:p w14:paraId="0E6ECF76" w14:textId="7C9452DD" w:rsidR="00F451F4" w:rsidRPr="0072714B" w:rsidRDefault="00645C38" w:rsidP="0072714B">
      <w:pPr>
        <w:outlineLvl w:val="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Smartshares </w:t>
      </w:r>
      <w:proofErr w:type="spellStart"/>
      <w:r w:rsidR="00402801">
        <w:rPr>
          <w:sz w:val="32"/>
          <w:szCs w:val="32"/>
          <w:lang w:val="en-GB"/>
        </w:rPr>
        <w:t>iShares</w:t>
      </w:r>
      <w:proofErr w:type="spellEnd"/>
      <w:r w:rsidR="00402801">
        <w:rPr>
          <w:sz w:val="32"/>
          <w:szCs w:val="32"/>
          <w:lang w:val="en-GB"/>
        </w:rPr>
        <w:t xml:space="preserve"> </w:t>
      </w:r>
      <w:r w:rsidR="00190697">
        <w:rPr>
          <w:sz w:val="32"/>
          <w:szCs w:val="32"/>
          <w:lang w:val="en-GB"/>
        </w:rPr>
        <w:t>Funds (t</w:t>
      </w:r>
      <w:r w:rsidR="00757587">
        <w:rPr>
          <w:sz w:val="32"/>
          <w:szCs w:val="32"/>
          <w:lang w:val="en-GB"/>
        </w:rPr>
        <w:t xml:space="preserve">he Funds) - </w:t>
      </w:r>
      <w:r w:rsidR="00F451F4" w:rsidRPr="00BD5A47">
        <w:rPr>
          <w:sz w:val="32"/>
          <w:szCs w:val="32"/>
          <w:lang w:val="en-GB"/>
        </w:rPr>
        <w:t>Key Terms</w:t>
      </w:r>
    </w:p>
    <w:p w14:paraId="0FE24DEF" w14:textId="7F298A45" w:rsidR="00F712C7" w:rsidRPr="00BD5A47" w:rsidRDefault="00F451F4" w:rsidP="00F712C7">
      <w:pPr>
        <w:spacing w:before="120" w:after="120"/>
        <w:rPr>
          <w:b/>
          <w:sz w:val="28"/>
          <w:szCs w:val="28"/>
          <w:lang w:val="en-GB"/>
        </w:rPr>
      </w:pPr>
      <w:r w:rsidRPr="00BD5A47">
        <w:rPr>
          <w:b/>
          <w:sz w:val="28"/>
          <w:szCs w:val="28"/>
          <w:lang w:val="en-GB"/>
        </w:rPr>
        <w:t>Details</w:t>
      </w:r>
      <w:r w:rsidR="00E77D49">
        <w:rPr>
          <w:b/>
          <w:sz w:val="28"/>
          <w:szCs w:val="28"/>
          <w:lang w:val="en-GB"/>
        </w:rPr>
        <w:t xml:space="preserve"> </w:t>
      </w:r>
      <w:r w:rsidR="00190697">
        <w:rPr>
          <w:b/>
          <w:sz w:val="28"/>
          <w:szCs w:val="28"/>
          <w:lang w:val="en-GB"/>
        </w:rPr>
        <w:t xml:space="preserve">of the </w:t>
      </w:r>
      <w:r w:rsidR="00186C12">
        <w:rPr>
          <w:b/>
          <w:sz w:val="28"/>
          <w:szCs w:val="28"/>
          <w:lang w:val="en-GB"/>
        </w:rPr>
        <w:t>Funds</w:t>
      </w:r>
      <w:r w:rsidR="00190697">
        <w:rPr>
          <w:b/>
          <w:sz w:val="28"/>
          <w:szCs w:val="28"/>
          <w:lang w:val="en-GB"/>
        </w:rPr>
        <w:t>:</w:t>
      </w:r>
    </w:p>
    <w:tbl>
      <w:tblPr>
        <w:tblW w:w="9005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86"/>
      </w:tblGrid>
      <w:tr w:rsidR="00AC6DF9" w:rsidRPr="00BD5A47" w14:paraId="678BE724" w14:textId="77777777" w:rsidTr="00F92590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5CF1" w14:textId="2CF1DF65" w:rsidR="00AC6DF9" w:rsidRPr="00BD5A47" w:rsidRDefault="00B72849" w:rsidP="00A9339B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Scheme Name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4F9B" w14:textId="24C25179" w:rsidR="00AC6DF9" w:rsidRDefault="00112BA2" w:rsidP="00A9339B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Smartshares Exchange Traded Funds</w:t>
            </w:r>
            <w:r w:rsidR="0019069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(ETFs)</w:t>
            </w:r>
          </w:p>
        </w:tc>
      </w:tr>
      <w:tr w:rsidR="002F18B8" w:rsidRPr="00BD5A47" w14:paraId="1E586AF5" w14:textId="77777777" w:rsidTr="00F92590">
        <w:trPr>
          <w:trHeight w:val="2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CA83" w14:textId="5A23D693" w:rsidR="002F18B8" w:rsidRPr="00BD5A47" w:rsidRDefault="00402801" w:rsidP="00A9339B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Issuer/Manager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AC94" w14:textId="66839D18" w:rsidR="002F18B8" w:rsidRPr="00BD5A47" w:rsidRDefault="00112BA2" w:rsidP="00A9339B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Smartshares Limited</w:t>
            </w:r>
          </w:p>
        </w:tc>
      </w:tr>
      <w:tr w:rsidR="001B13D2" w:rsidRPr="00BD5A47" w14:paraId="2151E0CD" w14:textId="77777777" w:rsidTr="001F0C55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724AC" w14:textId="77777777" w:rsidR="001B13D2" w:rsidRPr="00BD5A47" w:rsidRDefault="001B13D2" w:rsidP="001F0C55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Distributor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9228" w14:textId="68AFD3C2" w:rsidR="001B13D2" w:rsidRPr="00BD5A47" w:rsidRDefault="00112BA2" w:rsidP="00774E29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Smartshares Limited</w:t>
            </w:r>
          </w:p>
        </w:tc>
      </w:tr>
      <w:tr w:rsidR="00402801" w:rsidRPr="00BD5A47" w14:paraId="6396CDEB" w14:textId="77777777" w:rsidTr="00F92590">
        <w:trPr>
          <w:trHeight w:val="2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4B33" w14:textId="2B669048" w:rsidR="00402801" w:rsidRPr="00BD5A47" w:rsidRDefault="00402801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Investment Manager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0CAA" w14:textId="60B20AAD" w:rsidR="00B72849" w:rsidRDefault="00FF12BA" w:rsidP="0075758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Smartshares </w:t>
            </w:r>
            <w:r w:rsidR="0075758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Limited</w:t>
            </w:r>
          </w:p>
          <w:p w14:paraId="1E70AC83" w14:textId="7BD7040B" w:rsidR="0099223B" w:rsidRDefault="0099223B" w:rsidP="00B57B6B">
            <w:pPr>
              <w:pStyle w:val="Body"/>
              <w:numPr>
                <w:ilvl w:val="0"/>
                <w:numId w:val="21"/>
              </w:num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 Funds implement their investment strategy through an investment </w:t>
            </w:r>
            <w:r w:rsidRPr="00194BE1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 xml:space="preserve">into an underlying </w:t>
            </w:r>
            <w:r w:rsidR="00194BE1" w:rsidRPr="00194BE1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 xml:space="preserve">UCITS </w:t>
            </w:r>
            <w:r w:rsidRPr="00194BE1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 xml:space="preserve">ETF that </w:t>
            </w:r>
            <w:proofErr w:type="gramStart"/>
            <w:r w:rsidRPr="00194BE1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is managed</w:t>
            </w:r>
            <w:proofErr w:type="gramEnd"/>
            <w:r w:rsidRPr="00194BE1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 xml:space="preserve"> by BlackRock Asset Management Ireland Limited</w:t>
            </w:r>
            <w:r w:rsidR="00B72849" w:rsidRPr="00194BE1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.</w:t>
            </w:r>
          </w:p>
        </w:tc>
      </w:tr>
      <w:tr w:rsidR="00402801" w:rsidRPr="00BD5A47" w14:paraId="753D7886" w14:textId="77777777" w:rsidTr="00F92590">
        <w:trPr>
          <w:trHeight w:val="2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39B1" w14:textId="77777777" w:rsidR="00402801" w:rsidRPr="00BD5A47" w:rsidRDefault="00402801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Retail / Wholesale (Registered / Unregistered)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62747" w14:textId="4B33E9C0" w:rsidR="00402801" w:rsidRPr="00BD5A47" w:rsidRDefault="00402801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Retail (R</w:t>
            </w: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egistered as a Managed Investment Scheme)</w:t>
            </w:r>
            <w:r w:rsidR="00B55A8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</w:p>
        </w:tc>
      </w:tr>
      <w:tr w:rsidR="00402801" w:rsidRPr="00BD5A47" w14:paraId="41FC3CE8" w14:textId="77777777" w:rsidTr="00F92590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0E10" w14:textId="148F8187" w:rsidR="00402801" w:rsidRPr="00BD5A47" w:rsidRDefault="00402801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Investor Type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410B" w14:textId="5A1B98A7" w:rsidR="00402801" w:rsidRPr="00BD5A47" w:rsidRDefault="00402801" w:rsidP="00B72849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Resident and non-resident investors</w:t>
            </w:r>
            <w:r w:rsidR="00B55A8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</w:p>
        </w:tc>
      </w:tr>
      <w:tr w:rsidR="00402801" w:rsidRPr="00BD5A47" w14:paraId="4A942584" w14:textId="77777777" w:rsidTr="00F92590">
        <w:trPr>
          <w:trHeight w:val="4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DD00" w14:textId="4CB87E3D" w:rsidR="00402801" w:rsidRPr="00BD5A47" w:rsidRDefault="00B72849" w:rsidP="00402801">
            <w:pPr>
              <w:pStyle w:val="Body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Structure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91981" w14:textId="413FFFF0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Each</w:t>
            </w:r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Fund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will be</w:t>
            </w:r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established</w:t>
            </w:r>
            <w:proofErr w:type="gramEnd"/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as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an</w:t>
            </w:r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individual</w:t>
            </w:r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unit trust 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under</w:t>
            </w:r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a fund establishment deed and the existing Smartshares ETF trust deed.</w:t>
            </w:r>
          </w:p>
          <w:p w14:paraId="09C46B6B" w14:textId="77777777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  <w:p w14:paraId="4F599D98" w14:textId="3DFB1899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Each F</w:t>
            </w:r>
            <w:r w:rsidRPr="007E7B16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und will operate as an 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ETF</w:t>
            </w:r>
            <w:r w:rsidRPr="007E7B16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with investors predominantly accessing the fund by acquiring or selling units on the NZX through a broker.  </w:t>
            </w:r>
          </w:p>
          <w:p w14:paraId="3BFFB320" w14:textId="77777777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  <w:p w14:paraId="5B87A379" w14:textId="1E547F01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As an ETF, large applications and redemptions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are facilitated</w:t>
            </w:r>
            <w:proofErr w:type="gramEnd"/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by a primary market order. Units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c</w:t>
            </w:r>
            <w:r w:rsidRPr="00CE3183">
              <w:rPr>
                <w:rFonts w:ascii="Calibri" w:eastAsia="Times New Roman" w:hAnsi="Calibri"/>
                <w:sz w:val="22"/>
                <w:szCs w:val="22"/>
                <w:lang w:val="en-GB"/>
              </w:rPr>
              <w:t>an be created or redeemed at actual costs via the market maker (</w:t>
            </w:r>
            <w:proofErr w:type="spellStart"/>
            <w:r w:rsidRPr="00CE3183">
              <w:rPr>
                <w:rFonts w:ascii="Calibri" w:eastAsia="Times New Roman" w:hAnsi="Calibri"/>
                <w:sz w:val="22"/>
                <w:szCs w:val="22"/>
                <w:lang w:val="en-GB"/>
              </w:rPr>
              <w:t>C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raigs</w:t>
            </w:r>
            <w:proofErr w:type="spellEnd"/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Investment Partners)</w:t>
            </w:r>
            <w:proofErr w:type="gramEnd"/>
            <w:r w:rsidR="00B55A8A">
              <w:rPr>
                <w:rFonts w:ascii="Calibri" w:eastAsia="Times New Roman" w:hAnsi="Calibri"/>
                <w:sz w:val="22"/>
                <w:szCs w:val="22"/>
                <w:lang w:val="en-GB"/>
              </w:rPr>
              <w:t>.</w:t>
            </w:r>
          </w:p>
          <w:p w14:paraId="7D97326B" w14:textId="77777777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  <w:p w14:paraId="4CDFF9AB" w14:textId="01312057" w:rsidR="00204113" w:rsidRPr="00204113" w:rsidRDefault="00204113" w:rsidP="00204113">
            <w:pPr>
              <w:pStyle w:val="Heading1"/>
              <w:shd w:val="clear" w:color="auto" w:fill="FFFFFF"/>
              <w:spacing w:before="0" w:beforeAutospacing="0" w:after="0" w:afterAutospacing="0"/>
              <w:ind w:left="-45"/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>Each Fund implements its investment strategy through an investment i</w:t>
            </w:r>
            <w:r w:rsidRPr="00204113"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nto </w:t>
            </w:r>
            <w:r w:rsidRPr="00204113">
              <w:rPr>
                <w:rFonts w:ascii="Calibri" w:eastAsia="Calibri" w:hAnsi="Calibri" w:cs="Calibri"/>
                <w:b w:val="0"/>
                <w:sz w:val="22"/>
                <w:szCs w:val="22"/>
                <w:lang w:val="en-GB"/>
              </w:rPr>
              <w:t>an underlying ETF</w:t>
            </w:r>
            <w:r w:rsidRPr="00204113"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 that </w:t>
            </w:r>
            <w:proofErr w:type="gramStart"/>
            <w:r w:rsidRPr="00204113"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is </w:t>
            </w:r>
            <w:r w:rsidRPr="00194BE1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>managed</w:t>
            </w:r>
            <w:proofErr w:type="gramEnd"/>
            <w:r w:rsidRPr="00194BE1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 by </w:t>
            </w:r>
            <w:r w:rsidRPr="00194BE1">
              <w:rPr>
                <w:rFonts w:ascii="Calibri" w:eastAsia="Calibri" w:hAnsi="Calibri" w:cs="Calibri"/>
                <w:b w:val="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>BlackRock Asset Management Ireland Limited</w:t>
            </w:r>
            <w:r w:rsidR="008A7B27" w:rsidRPr="00194BE1">
              <w:rPr>
                <w:rFonts w:ascii="Calibri" w:eastAsia="Calibri" w:hAnsi="Calibri" w:cs="Calibri"/>
                <w:b w:val="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 (Underlying Fund),</w:t>
            </w:r>
            <w:r w:rsidR="00555B90" w:rsidRPr="00194BE1">
              <w:rPr>
                <w:rFonts w:ascii="Calibri" w:eastAsia="Calibri" w:hAnsi="Calibri" w:cs="Calibri"/>
                <w:b w:val="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 as described in the Fund Details tables below</w:t>
            </w:r>
            <w:r w:rsidRPr="00194BE1">
              <w:rPr>
                <w:rFonts w:ascii="Calibri" w:eastAsia="Calibri" w:hAnsi="Calibri" w:cs="Calibri"/>
                <w:b w:val="0"/>
                <w:bCs w:val="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. The ETF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 xml:space="preserve">may also hold cash for day-to-day </w:t>
            </w:r>
            <w:r w:rsidR="008A7B27">
              <w:rPr>
                <w:rFonts w:ascii="Calibri" w:eastAsia="Calibri" w:hAnsi="Calibri" w:cs="Calibri"/>
                <w:b w:val="0"/>
                <w:bCs w:val="0"/>
                <w:color w:val="000000"/>
                <w:kern w:val="0"/>
                <w:sz w:val="22"/>
                <w:szCs w:val="22"/>
                <w:u w:color="000000"/>
                <w:bdr w:val="nil"/>
                <w:lang w:val="en-GB" w:eastAsia="en-US"/>
              </w:rPr>
              <w:t>portfolio management.</w:t>
            </w:r>
          </w:p>
          <w:p w14:paraId="4779E871" w14:textId="77777777" w:rsidR="00204113" w:rsidRPr="00BD5A47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  <w:p w14:paraId="2AD7104B" w14:textId="1FC9BBC9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A Net Asset Value</w:t>
            </w:r>
            <w:r w:rsidR="00555B90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(NAV)</w:t>
            </w:r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>will be calculated</w:t>
            </w:r>
            <w:proofErr w:type="gramEnd"/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using the closing market price of the</w:t>
            </w:r>
            <w:r w:rsidR="008A7B2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Underlying Fund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bdr w:val="nil"/>
                <w:lang w:val="en-GB"/>
              </w:rPr>
              <w:t xml:space="preserve">. The price will be available and announced on the 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NZX by close of trading on the next business day after the valuation date. </w:t>
            </w:r>
          </w:p>
          <w:p w14:paraId="1798CD8A" w14:textId="77777777" w:rsidR="00204113" w:rsidRDefault="00204113" w:rsidP="00204113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</w:p>
          <w:p w14:paraId="54C2A72C" w14:textId="331C2E6F" w:rsidR="00402801" w:rsidRPr="00BD5A47" w:rsidRDefault="00204113" w:rsidP="00402801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A NA</w:t>
            </w:r>
            <w:r w:rsidRPr="00673209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V </w:t>
            </w:r>
            <w:proofErr w:type="gramStart"/>
            <w:r w:rsidRPr="00673209">
              <w:rPr>
                <w:rFonts w:ascii="Calibri" w:eastAsia="Times New Roman" w:hAnsi="Calibri"/>
                <w:sz w:val="22"/>
                <w:szCs w:val="22"/>
                <w:lang w:val="en-GB"/>
              </w:rPr>
              <w:t>will be calculated</w:t>
            </w:r>
            <w:proofErr w:type="gramEnd"/>
            <w:r w:rsidRPr="00673209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for all New Zealand business days, even if it is a holiday in any of the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underlying markets.</w:t>
            </w:r>
          </w:p>
        </w:tc>
      </w:tr>
      <w:tr w:rsidR="00402801" w:rsidRPr="00BD5A47" w14:paraId="3C0E3715" w14:textId="77777777" w:rsidTr="00F92590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6C0B1" w14:textId="7666B7FB" w:rsidR="00402801" w:rsidRPr="00BD5A47" w:rsidRDefault="00402801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Distributions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0D68" w14:textId="768997F4" w:rsidR="00402801" w:rsidRPr="00BD5A47" w:rsidRDefault="00782B50" w:rsidP="002F6102">
            <w:pPr>
              <w:rPr>
                <w:rFonts w:ascii="Calibri" w:eastAsia="Times New Roman" w:hAnsi="Calibri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Only the </w:t>
            </w:r>
            <w:r w:rsidRPr="00782B50">
              <w:rPr>
                <w:rFonts w:ascii="Calibri" w:eastAsia="Times New Roman" w:hAnsi="Calibri"/>
                <w:sz w:val="22"/>
                <w:szCs w:val="22"/>
                <w:lang w:val="en-GB"/>
              </w:rPr>
              <w:t>Smartshares Global Aggregate Bond ETF</w:t>
            </w:r>
            <w:r>
              <w:rPr>
                <w:rFonts w:ascii="Calibri" w:eastAsia="Times New Roman" w:hAnsi="Calibri"/>
                <w:sz w:val="22"/>
                <w:szCs w:val="22"/>
                <w:lang w:val="en-GB"/>
              </w:rPr>
              <w:t>.  This will be quarterly (in line with dates for existing distributing Smartshares funds)</w:t>
            </w:r>
          </w:p>
        </w:tc>
      </w:tr>
      <w:tr w:rsidR="00402801" w:rsidRPr="00BD5A47" w14:paraId="2613FB3E" w14:textId="77777777" w:rsidTr="00F92590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0D53" w14:textId="4ED3F42A" w:rsidR="00402801" w:rsidRPr="00BD5A47" w:rsidRDefault="00402801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Business Days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F0DC" w14:textId="1847C74F" w:rsidR="00402801" w:rsidRPr="00BD5A47" w:rsidRDefault="00402801" w:rsidP="00402801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1C1C1C"/>
                <w:sz w:val="22"/>
                <w:szCs w:val="22"/>
                <w:lang w:val="en-GB"/>
              </w:rPr>
            </w:pPr>
            <w:r w:rsidRPr="00BD5A47">
              <w:rPr>
                <w:rFonts w:ascii="Calibri" w:hAnsi="Calibri" w:cs="Times"/>
                <w:color w:val="1C1C1C"/>
                <w:sz w:val="22"/>
                <w:szCs w:val="22"/>
                <w:lang w:val="en-GB"/>
              </w:rPr>
              <w:t>Wellington</w:t>
            </w:r>
          </w:p>
        </w:tc>
      </w:tr>
      <w:tr w:rsidR="00757587" w:rsidRPr="00BD5A47" w14:paraId="1F7756DA" w14:textId="77777777" w:rsidTr="00F92590">
        <w:trPr>
          <w:trHeight w:val="2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02CB" w14:textId="43D67224" w:rsidR="00757587" w:rsidRPr="00BD5A47" w:rsidRDefault="00757587" w:rsidP="00402801">
            <w:pPr>
              <w:pStyle w:val="Body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Borrowing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0DAB" w14:textId="4B9EF93F" w:rsidR="00757587" w:rsidRPr="00BD5A47" w:rsidRDefault="00757587" w:rsidP="00402801">
            <w:pPr>
              <w:pStyle w:val="Body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 w:cs="Times"/>
                <w:color w:val="1C1C1C"/>
                <w:sz w:val="22"/>
                <w:szCs w:val="22"/>
              </w:rPr>
              <w:t>Not allowed except for securities settlement and other short-term liquidity requirements.</w:t>
            </w:r>
          </w:p>
        </w:tc>
      </w:tr>
      <w:tr w:rsidR="00757587" w:rsidRPr="006049F7" w14:paraId="21891BB7" w14:textId="77777777" w:rsidTr="00FE785E">
        <w:trPr>
          <w:trHeight w:val="4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E03CC" w14:textId="472BC580" w:rsidR="00757587" w:rsidRPr="00A54077" w:rsidRDefault="00757587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Derivatives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6D12" w14:textId="44B2A9EB" w:rsidR="00757587" w:rsidRPr="006049F7" w:rsidRDefault="00757587" w:rsidP="00FE785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1C1C1C"/>
                <w:sz w:val="22"/>
                <w:szCs w:val="22"/>
              </w:rPr>
            </w:pPr>
            <w:r>
              <w:rPr>
                <w:rFonts w:ascii="Calibri" w:hAnsi="Calibri" w:cs="Times"/>
                <w:color w:val="1C1C1C"/>
                <w:sz w:val="22"/>
                <w:szCs w:val="22"/>
              </w:rPr>
              <w:t xml:space="preserve">Not permitted other than for currency hedging and short-term liquidity.  </w:t>
            </w:r>
            <w:r w:rsidR="002B2E1F">
              <w:rPr>
                <w:rFonts w:ascii="Calibri" w:hAnsi="Calibri" w:cs="Times"/>
                <w:color w:val="1C1C1C"/>
                <w:sz w:val="22"/>
                <w:szCs w:val="22"/>
              </w:rPr>
              <w:t>The Underlying F</w:t>
            </w:r>
            <w:r>
              <w:rPr>
                <w:rFonts w:ascii="Calibri" w:hAnsi="Calibri" w:cs="Times"/>
                <w:color w:val="1C1C1C"/>
                <w:sz w:val="22"/>
                <w:szCs w:val="22"/>
              </w:rPr>
              <w:t>unds may hold derivatives.</w:t>
            </w:r>
          </w:p>
        </w:tc>
      </w:tr>
      <w:tr w:rsidR="00757587" w:rsidRPr="006049F7" w14:paraId="548D5456" w14:textId="77777777" w:rsidTr="00F92590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FC98" w14:textId="60F361C7" w:rsidR="00757587" w:rsidRPr="00A54077" w:rsidRDefault="00B23EB2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Taxation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2724" w14:textId="54C83187" w:rsidR="00757587" w:rsidRPr="00757587" w:rsidRDefault="00757587" w:rsidP="0075758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Listed Portfolio Investment Entities</w:t>
            </w:r>
            <w:r w:rsidRPr="00BD5A47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Listed </w:t>
            </w:r>
            <w:r w:rsidRPr="00BD5A47">
              <w:rPr>
                <w:rFonts w:ascii="Calibri" w:hAnsi="Calibri"/>
                <w:sz w:val="22"/>
                <w:szCs w:val="22"/>
                <w:lang w:val="en-GB"/>
              </w:rPr>
              <w:t>PIE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BD5A47">
              <w:rPr>
                <w:rFonts w:ascii="Calibri" w:hAnsi="Calibri"/>
                <w:sz w:val="22"/>
                <w:szCs w:val="22"/>
                <w:lang w:val="en-GB"/>
              </w:rPr>
              <w:t>)</w:t>
            </w: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. 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F</w:t>
            </w: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und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</w:t>
            </w: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will calculate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and withhold </w:t>
            </w: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PIE tax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at 28% for all investors (not a multi-rate PIE)</w:t>
            </w: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6C0E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 Fund, as a Listed PIE, is not able to elect to be Foreign Investor PIE.  </w:t>
            </w:r>
          </w:p>
        </w:tc>
      </w:tr>
      <w:tr w:rsidR="00757587" w:rsidRPr="00A54077" w14:paraId="1286AACC" w14:textId="77777777" w:rsidTr="00F92590">
        <w:trPr>
          <w:trHeight w:val="3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534A" w14:textId="31720616" w:rsidR="00757587" w:rsidRPr="00A54077" w:rsidRDefault="005A00B3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Maximum R</w:t>
            </w:r>
            <w:r w:rsidR="00757587"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edemption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14E0" w14:textId="38D6DFAC" w:rsidR="00757587" w:rsidRPr="00A54077" w:rsidRDefault="00757587" w:rsidP="00850AE5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 w:rsidRPr="00BD5A47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There </w:t>
            </w:r>
            <w:r w:rsidR="00850AE5">
              <w:rPr>
                <w:rFonts w:ascii="Calibri" w:eastAsia="Times New Roman" w:hAnsi="Calibri"/>
                <w:sz w:val="22"/>
                <w:szCs w:val="22"/>
                <w:lang w:val="en-GB"/>
              </w:rPr>
              <w:t>is no maximum redemption amount.</w:t>
            </w:r>
          </w:p>
        </w:tc>
      </w:tr>
      <w:tr w:rsidR="00757587" w:rsidRPr="00BD5A47" w14:paraId="6C3AF305" w14:textId="77777777" w:rsidTr="00F92590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A3DAD" w14:textId="2E81E3C6" w:rsidR="00757587" w:rsidRPr="00BD5A47" w:rsidRDefault="005A00B3" w:rsidP="00402801">
            <w:pPr>
              <w:pStyle w:val="Body"/>
              <w:rPr>
                <w:rFonts w:ascii="Calibri" w:hAnsi="Calibri"/>
                <w:sz w:val="22"/>
                <w:szCs w:val="22"/>
                <w:lang w:val="en-GB"/>
              </w:rPr>
            </w:pPr>
            <w:r w:rsidRPr="007922F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NAV Calculation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48B6" w14:textId="2F0AEE1A" w:rsidR="005A00B3" w:rsidRDefault="005A00B3" w:rsidP="005A00B3">
            <w:pPr>
              <w:pStyle w:val="Body"/>
              <w:numPr>
                <w:ilvl w:val="0"/>
                <w:numId w:val="18"/>
              </w:numPr>
              <w:ind w:left="260" w:hanging="26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Daily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</w:p>
          <w:p w14:paraId="5A00560B" w14:textId="77777777" w:rsidR="005A00B3" w:rsidRDefault="005A00B3" w:rsidP="005A00B3">
            <w:pPr>
              <w:pStyle w:val="Body"/>
              <w:numPr>
                <w:ilvl w:val="0"/>
                <w:numId w:val="18"/>
              </w:numPr>
              <w:ind w:left="260" w:hanging="26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Prices are available on the following New Zealand business day following the valuation date. </w:t>
            </w:r>
          </w:p>
          <w:p w14:paraId="59F1BB5C" w14:textId="5BD03838" w:rsidR="005A00B3" w:rsidRPr="005A00B3" w:rsidRDefault="005A00B3" w:rsidP="005A00B3">
            <w:pPr>
              <w:pStyle w:val="ListParagraph"/>
              <w:numPr>
                <w:ilvl w:val="0"/>
                <w:numId w:val="18"/>
              </w:numPr>
              <w:ind w:left="260" w:hanging="26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A00B3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A Net Asset Value </w:t>
            </w:r>
            <w:proofErr w:type="gramStart"/>
            <w:r w:rsidRPr="005A00B3">
              <w:rPr>
                <w:rFonts w:ascii="Calibri" w:eastAsia="Times New Roman" w:hAnsi="Calibri"/>
                <w:sz w:val="22"/>
                <w:szCs w:val="22"/>
                <w:lang w:val="en-GB"/>
              </w:rPr>
              <w:t>will be calculated</w:t>
            </w:r>
            <w:proofErr w:type="gramEnd"/>
            <w:r w:rsidRPr="005A00B3">
              <w:rPr>
                <w:rFonts w:ascii="Calibri" w:eastAsia="Times New Roman" w:hAnsi="Calibri"/>
                <w:sz w:val="22"/>
                <w:szCs w:val="22"/>
                <w:lang w:val="en-GB"/>
              </w:rPr>
              <w:t xml:space="preserve"> using the closing market price of the </w:t>
            </w:r>
            <w:r w:rsidR="007922FC">
              <w:rPr>
                <w:rFonts w:ascii="Calibri" w:eastAsia="Times New Roman" w:hAnsi="Calibri"/>
                <w:sz w:val="22"/>
                <w:szCs w:val="22"/>
                <w:lang w:val="en-GB"/>
              </w:rPr>
              <w:t>Underlying Fund.</w:t>
            </w:r>
          </w:p>
          <w:p w14:paraId="29ADB0AF" w14:textId="77777777" w:rsidR="005A00B3" w:rsidRDefault="005A00B3" w:rsidP="005A00B3">
            <w:pPr>
              <w:pStyle w:val="Body"/>
              <w:numPr>
                <w:ilvl w:val="0"/>
                <w:numId w:val="18"/>
              </w:numPr>
              <w:ind w:left="260" w:hanging="26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If the underlying markets are closed, the most recent trading price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will be used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the ETF valuation. </w:t>
            </w:r>
          </w:p>
          <w:p w14:paraId="26ECF9E1" w14:textId="7F16DC4A" w:rsidR="00757587" w:rsidRPr="00BD5A47" w:rsidRDefault="005A00B3" w:rsidP="005A00B3">
            <w:pPr>
              <w:pStyle w:val="Body"/>
              <w:numPr>
                <w:ilvl w:val="0"/>
                <w:numId w:val="18"/>
              </w:numPr>
              <w:ind w:left="260" w:hanging="26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The ETF will list with a NAV</w:t>
            </w:r>
            <w:r w:rsidR="00AB04C3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per unit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o</w:t>
            </w:r>
            <w:r w:rsidRPr="00AB04C3">
              <w:rPr>
                <w:rFonts w:ascii="Calibri" w:eastAsia="Calibri" w:hAnsi="Calibri" w:cs="Calibri"/>
                <w:sz w:val="22"/>
                <w:szCs w:val="22"/>
                <w:lang w:val="en-GB"/>
              </w:rPr>
              <w:t>f NZ$1.</w:t>
            </w:r>
          </w:p>
        </w:tc>
      </w:tr>
      <w:tr w:rsidR="00757587" w:rsidRPr="00BD5A47" w14:paraId="38F89C0F" w14:textId="77777777" w:rsidTr="00F92590">
        <w:trPr>
          <w:trHeight w:val="1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AA0BD" w14:textId="30790739" w:rsidR="00757587" w:rsidRPr="00BD5A47" w:rsidRDefault="00757587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Application Frequency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8416" w14:textId="77777777" w:rsidR="00B85D07" w:rsidRDefault="00B85D07" w:rsidP="00B85D0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Daily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55F5277C" w14:textId="65F90C91" w:rsidR="00757587" w:rsidRPr="00BD5A47" w:rsidRDefault="00B85D07" w:rsidP="00B85D0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"/>
                <w:color w:val="1C1C1C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 ETF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may be closed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application when the underlying markets of held securities are not trading.</w:t>
            </w:r>
          </w:p>
        </w:tc>
      </w:tr>
      <w:tr w:rsidR="00757587" w:rsidRPr="00BD5A47" w14:paraId="1B9F7DA6" w14:textId="77777777" w:rsidTr="00F92590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65FF" w14:textId="2157C14C" w:rsidR="00757587" w:rsidRPr="00BD5A47" w:rsidRDefault="00757587" w:rsidP="00402801">
            <w:pPr>
              <w:pStyle w:val="Body"/>
              <w:rPr>
                <w:rFonts w:ascii="Calibri" w:hAnsi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Redemption Frequency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D0C79" w14:textId="77777777" w:rsidR="00B85D07" w:rsidRDefault="00B85D07" w:rsidP="00B85D0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Daily </w:t>
            </w:r>
          </w:p>
          <w:p w14:paraId="3F78E2BF" w14:textId="29943196" w:rsidR="00757587" w:rsidRPr="00BD5A47" w:rsidRDefault="00B85D07" w:rsidP="00B85D07">
            <w:pPr>
              <w:pStyle w:val="Body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The ETF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may be closed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for redemptions when the underlying markets of held securities are not trading.</w:t>
            </w:r>
          </w:p>
        </w:tc>
      </w:tr>
      <w:tr w:rsidR="00FD3457" w:rsidRPr="00BD5A47" w14:paraId="43D15C6D" w14:textId="77777777" w:rsidTr="00F92590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8CC7" w14:textId="6FD6281F" w:rsidR="00FD3457" w:rsidRPr="00BD5A47" w:rsidRDefault="00FD3457" w:rsidP="00FD345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Application Cut-off time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3A10" w14:textId="5651E3EF" w:rsidR="00FD3457" w:rsidRDefault="00FD3457" w:rsidP="00FD345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Daily on-market trading </w:t>
            </w:r>
            <w:r w:rsidR="00A549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during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A549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NZX Main Board trading hours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(NZDT).</w:t>
            </w:r>
          </w:p>
          <w:p w14:paraId="789694A4" w14:textId="4663110B" w:rsidR="00FD3457" w:rsidRPr="00BD5A47" w:rsidRDefault="00FD3457" w:rsidP="0030702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Basket creations/redemptions for minimum </w:t>
            </w:r>
            <w:r w:rsidR="00307026" w:rsidRPr="0094714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10,000</w:t>
            </w:r>
            <w:r w:rsidRPr="00947140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shares.</w:t>
            </w:r>
          </w:p>
        </w:tc>
      </w:tr>
      <w:tr w:rsidR="00FD3457" w:rsidRPr="00BD5A47" w14:paraId="2A7208F8" w14:textId="77777777" w:rsidTr="00F92590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39D62" w14:textId="40A512BA" w:rsidR="00FD3457" w:rsidRPr="00BD5A47" w:rsidRDefault="00FD3457" w:rsidP="00FD345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Redemption Cut-Off Time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D25E" w14:textId="60190A13" w:rsidR="00FD3457" w:rsidRDefault="00FD3457" w:rsidP="00FD3457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Daily on-market trading </w:t>
            </w:r>
            <w:r w:rsidR="00A549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during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r w:rsidR="00A5499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NZX Main Board trading hours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(NZDT).</w:t>
            </w:r>
          </w:p>
          <w:p w14:paraId="3E49A5FF" w14:textId="51FDB03D" w:rsidR="00FD3457" w:rsidRPr="00BD5A47" w:rsidRDefault="00FD3457" w:rsidP="0030702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Basket creations/redemptions for minimum </w:t>
            </w:r>
            <w:r w:rsidR="0030702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10,000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shares.</w:t>
            </w:r>
          </w:p>
        </w:tc>
      </w:tr>
      <w:tr w:rsidR="00757587" w:rsidRPr="00BD5A47" w14:paraId="74EBE755" w14:textId="77777777" w:rsidTr="00F92590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EA0F" w14:textId="16DC9094" w:rsidR="00757587" w:rsidRPr="00BD5A47" w:rsidRDefault="00757587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PIE Eligibility Reporting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624BA" w14:textId="61C99979" w:rsidR="00757587" w:rsidRPr="00BD5A47" w:rsidRDefault="00757587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>M</w:t>
            </w:r>
            <w:r w:rsidRPr="00BD5A47">
              <w:rPr>
                <w:rFonts w:ascii="Calibri" w:hAnsi="Calibri"/>
                <w:sz w:val="22"/>
                <w:szCs w:val="22"/>
                <w:lang w:val="en-GB"/>
              </w:rPr>
              <w:t>onthly</w:t>
            </w:r>
          </w:p>
        </w:tc>
      </w:tr>
      <w:tr w:rsidR="00757587" w:rsidRPr="00BD5A47" w14:paraId="05F1ACD0" w14:textId="77777777" w:rsidTr="00F92590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9A13" w14:textId="27E18AC0" w:rsidR="00757587" w:rsidRPr="00BD5A47" w:rsidRDefault="00757587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Fund</w:t>
            </w:r>
            <w:r w:rsidR="00E77D4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Establishment Documentation to be Executed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777D" w14:textId="0C2483E2" w:rsidR="00757587" w:rsidRPr="00BD5A47" w:rsidRDefault="00757587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Unit Trust Establishment Deed</w:t>
            </w:r>
          </w:p>
        </w:tc>
      </w:tr>
      <w:tr w:rsidR="00031B45" w:rsidRPr="00BD5A47" w14:paraId="6D64AE8D" w14:textId="77777777" w:rsidTr="00F92590">
        <w:trPr>
          <w:trHeight w:val="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A5CF" w14:textId="6C1658D0" w:rsidR="00031B45" w:rsidRDefault="00031B45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Fund</w:t>
            </w:r>
            <w:r w:rsidR="00E77D4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Establishment Date</w:t>
            </w:r>
            <w:r w:rsidR="007866E7">
              <w:rPr>
                <w:rFonts w:ascii="Calibri" w:eastAsia="Calibri" w:hAnsi="Calibri" w:cs="Calibri"/>
                <w:sz w:val="22"/>
                <w:szCs w:val="22"/>
              </w:rPr>
              <w:t xml:space="preserve"> / Fund Listing Date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DAE8" w14:textId="6BC23CF9" w:rsidR="00031B45" w:rsidRDefault="00B55A8A" w:rsidP="00D53A07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 w:rsidR="007866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Ma</w:t>
            </w:r>
            <w:r w:rsidR="007866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rch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2019</w:t>
            </w:r>
            <w:r w:rsidR="007866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/ </w:t>
            </w:r>
            <w:r w:rsidR="00D53A0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6 June</w:t>
            </w:r>
            <w:r w:rsidR="007866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2019</w:t>
            </w:r>
            <w:bookmarkStart w:id="0" w:name="_GoBack"/>
            <w:bookmarkEnd w:id="0"/>
          </w:p>
        </w:tc>
      </w:tr>
      <w:tr w:rsidR="00757587" w:rsidRPr="00BD5A47" w14:paraId="5B62BF4C" w14:textId="77777777" w:rsidTr="00724133">
        <w:trPr>
          <w:trHeight w:val="4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7349" w14:textId="37BDD26D" w:rsidR="00757587" w:rsidRPr="00BD5A47" w:rsidRDefault="00B23EB2" w:rsidP="00402801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Disclosure Documents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D07D" w14:textId="77777777" w:rsidR="00724133" w:rsidRDefault="00724133" w:rsidP="00724133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following are required for a registered scheme and offer:</w:t>
            </w:r>
          </w:p>
          <w:p w14:paraId="693C350F" w14:textId="77777777" w:rsidR="00724133" w:rsidRDefault="00724133" w:rsidP="00724133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54077">
              <w:rPr>
                <w:rFonts w:ascii="Calibri" w:eastAsia="Calibri" w:hAnsi="Calibri" w:cs="Calibri"/>
                <w:sz w:val="22"/>
                <w:szCs w:val="22"/>
              </w:rPr>
              <w:t>Product Disclosure Statement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(either stand-alone or updates to the existing Smartshares ETF PDS)</w:t>
            </w:r>
          </w:p>
          <w:p w14:paraId="45CC5EC9" w14:textId="77777777" w:rsidR="00724133" w:rsidRDefault="00724133" w:rsidP="00724133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Other Material Information document</w:t>
            </w:r>
          </w:p>
          <w:p w14:paraId="4C5D12CB" w14:textId="77777777" w:rsidR="00724133" w:rsidRDefault="00724133" w:rsidP="00724133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Disclose Register Entries</w:t>
            </w:r>
          </w:p>
          <w:p w14:paraId="29A6E46B" w14:textId="77777777" w:rsidR="00724133" w:rsidRPr="00A54077" w:rsidRDefault="00724133" w:rsidP="00724133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Fund Updates</w:t>
            </w:r>
          </w:p>
          <w:p w14:paraId="02959B37" w14:textId="77777777" w:rsidR="00724133" w:rsidRDefault="00724133" w:rsidP="00724133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A54077">
              <w:rPr>
                <w:rFonts w:ascii="Calibri" w:eastAsia="Calibri" w:hAnsi="Calibri" w:cs="Calibri"/>
                <w:sz w:val="22"/>
                <w:szCs w:val="22"/>
              </w:rPr>
              <w:t>Statement of Investment Policy and Objectives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(updates to existing)</w:t>
            </w:r>
          </w:p>
          <w:p w14:paraId="40704540" w14:textId="77777777" w:rsidR="00724133" w:rsidRDefault="00724133" w:rsidP="00724133">
            <w:pPr>
              <w:pStyle w:val="Body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Annual Report and financial statements</w:t>
            </w:r>
          </w:p>
          <w:p w14:paraId="60529674" w14:textId="2D41E446" w:rsidR="00757587" w:rsidRPr="00BD5A47" w:rsidRDefault="00724133" w:rsidP="00724133">
            <w:pPr>
              <w:pStyle w:val="Body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addition, disclosure documentation for the underlyi</w:t>
            </w:r>
            <w:r w:rsidR="00303FAD">
              <w:rPr>
                <w:rFonts w:ascii="Calibri" w:eastAsia="Calibri" w:hAnsi="Calibri" w:cs="Calibri"/>
                <w:sz w:val="22"/>
                <w:szCs w:val="22"/>
              </w:rPr>
              <w:t xml:space="preserve">ng fund is available to clients by visiting: </w:t>
            </w:r>
            <w:hyperlink r:id="rId8" w:history="1">
              <w:r w:rsidRPr="00F608E2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https://www.blackrock.com/uk/intermediaries/literature/prospectus/ishare-iii-plc-en-emea-prospectus.pdf</w:t>
              </w:r>
            </w:hyperlink>
          </w:p>
        </w:tc>
      </w:tr>
    </w:tbl>
    <w:p w14:paraId="549E904D" w14:textId="77777777" w:rsidR="00757587" w:rsidRDefault="00757587" w:rsidP="00F92590">
      <w:pPr>
        <w:spacing w:before="120" w:after="120"/>
        <w:rPr>
          <w:b/>
          <w:sz w:val="28"/>
          <w:szCs w:val="28"/>
        </w:rPr>
      </w:pPr>
    </w:p>
    <w:p w14:paraId="7B772340" w14:textId="4337F429" w:rsidR="00F92590" w:rsidRPr="00F712C7" w:rsidRDefault="00F92590" w:rsidP="00F92590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Fees and Expenses:</w:t>
      </w:r>
    </w:p>
    <w:tbl>
      <w:tblPr>
        <w:tblW w:w="9005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86"/>
      </w:tblGrid>
      <w:tr w:rsidR="00FD78AF" w:rsidRPr="006049F7" w14:paraId="2BC1BA50" w14:textId="77777777" w:rsidTr="00243AA1">
        <w:trPr>
          <w:trHeight w:val="2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E87E" w14:textId="6BC10921" w:rsidR="00FD78AF" w:rsidRPr="00A54077" w:rsidRDefault="003B50CE" w:rsidP="00737FF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Total </w:t>
            </w:r>
            <w:r w:rsidR="0024769B">
              <w:rPr>
                <w:rFonts w:ascii="Calibri" w:eastAsia="Calibri" w:hAnsi="Calibri" w:cs="Calibri"/>
                <w:sz w:val="22"/>
                <w:szCs w:val="22"/>
              </w:rPr>
              <w:t>Fund C</w:t>
            </w:r>
            <w:r w:rsidR="00B23EB2">
              <w:rPr>
                <w:rFonts w:ascii="Calibri" w:eastAsia="Calibri" w:hAnsi="Calibri" w:cs="Calibri"/>
                <w:sz w:val="22"/>
                <w:szCs w:val="22"/>
              </w:rPr>
              <w:t>harges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FD78" w14:textId="2642A3C9" w:rsidR="00FD78AF" w:rsidRDefault="00FD78AF" w:rsidP="00737FF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See Fund Details table below</w:t>
            </w:r>
          </w:p>
        </w:tc>
      </w:tr>
      <w:tr w:rsidR="00DE0613" w:rsidRPr="006049F7" w14:paraId="4E2314C9" w14:textId="77777777" w:rsidTr="00243AA1">
        <w:trPr>
          <w:trHeight w:val="2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E3B2C" w14:textId="32E140CB" w:rsidR="00DE0613" w:rsidRDefault="00DE0613" w:rsidP="00737FF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Platform Fee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D25E" w14:textId="1EF28AE6" w:rsidR="00DE0613" w:rsidRDefault="00DE0613" w:rsidP="00737FF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 investors that apply direct via the Smartshares website, a one-off $30 establishment fee (irrespective of the number of funds chosen) is charged</w:t>
            </w:r>
          </w:p>
        </w:tc>
      </w:tr>
      <w:tr w:rsidR="00243AA1" w:rsidRPr="006049F7" w14:paraId="00BDA03D" w14:textId="77777777" w:rsidTr="00243AA1">
        <w:trPr>
          <w:trHeight w:val="2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83CD2" w14:textId="2FEE198C" w:rsidR="00F92590" w:rsidRPr="006049F7" w:rsidRDefault="0024769B" w:rsidP="00737FFA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Entry F</w:t>
            </w:r>
            <w:r w:rsidR="00B23EB2">
              <w:rPr>
                <w:rFonts w:ascii="Calibri" w:eastAsia="Calibri" w:hAnsi="Calibri" w:cs="Calibri"/>
                <w:sz w:val="22"/>
                <w:szCs w:val="22"/>
              </w:rPr>
              <w:t>ee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1FE83" w14:textId="2CFECE34" w:rsidR="00F92590" w:rsidRPr="006049F7" w:rsidRDefault="00243AA1" w:rsidP="00737FFA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Nil</w:t>
            </w:r>
          </w:p>
        </w:tc>
      </w:tr>
      <w:tr w:rsidR="00243AA1" w:rsidRPr="006049F7" w14:paraId="799B346B" w14:textId="77777777" w:rsidTr="00243AA1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03EE" w14:textId="0CA0F197" w:rsidR="00F92590" w:rsidRPr="006049F7" w:rsidRDefault="00B23EB2" w:rsidP="00737FFA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Exit Fee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64AE" w14:textId="1B1FAD5C" w:rsidR="00F92590" w:rsidRPr="006049F7" w:rsidRDefault="00243AA1" w:rsidP="00737FFA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Nil</w:t>
            </w:r>
          </w:p>
        </w:tc>
      </w:tr>
      <w:tr w:rsidR="00243AA1" w:rsidRPr="006049F7" w14:paraId="37798687" w14:textId="77777777" w:rsidTr="00243AA1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4C00" w14:textId="1560F617" w:rsidR="00243AA1" w:rsidRPr="00A54077" w:rsidRDefault="0024769B" w:rsidP="00737FF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Buy S</w:t>
            </w:r>
            <w:r w:rsidR="00243AA1">
              <w:rPr>
                <w:rFonts w:ascii="Calibri" w:eastAsia="Calibri" w:hAnsi="Calibri" w:cs="Calibri"/>
                <w:sz w:val="22"/>
                <w:szCs w:val="22"/>
              </w:rPr>
              <w:t>pread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5338" w14:textId="2F3B9F82" w:rsidR="00243AA1" w:rsidRDefault="00D10D78" w:rsidP="00737FF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Nil</w:t>
            </w:r>
          </w:p>
        </w:tc>
      </w:tr>
      <w:tr w:rsidR="00243AA1" w:rsidRPr="006049F7" w14:paraId="767F28E3" w14:textId="77777777" w:rsidTr="00243AA1">
        <w:trPr>
          <w:trHeight w:val="2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214B" w14:textId="43CD87BA" w:rsidR="00243AA1" w:rsidRDefault="0024769B" w:rsidP="00243AA1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Sell S</w:t>
            </w:r>
            <w:r w:rsidR="00243AA1">
              <w:rPr>
                <w:rFonts w:ascii="Calibri" w:eastAsia="Calibri" w:hAnsi="Calibri" w:cs="Calibri"/>
                <w:sz w:val="22"/>
                <w:szCs w:val="22"/>
              </w:rPr>
              <w:t>pread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2A57" w14:textId="600067FF" w:rsidR="00243AA1" w:rsidRDefault="00D10D78" w:rsidP="00737FFA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Nil</w:t>
            </w:r>
          </w:p>
        </w:tc>
      </w:tr>
    </w:tbl>
    <w:p w14:paraId="4A3DADFB" w14:textId="3221DFE2" w:rsidR="0082714B" w:rsidRDefault="0082714B" w:rsidP="00F712C7">
      <w:pPr>
        <w:spacing w:before="120" w:after="120"/>
        <w:rPr>
          <w:b/>
          <w:sz w:val="28"/>
          <w:szCs w:val="28"/>
          <w:lang w:val="en-GB"/>
        </w:rPr>
      </w:pPr>
    </w:p>
    <w:p w14:paraId="4F191EE9" w14:textId="2D9BBFCE" w:rsidR="0024769B" w:rsidRPr="00F712C7" w:rsidRDefault="0024769B" w:rsidP="0024769B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Fund Establishment and Ongoing Fixed Costs:</w:t>
      </w:r>
    </w:p>
    <w:tbl>
      <w:tblPr>
        <w:tblW w:w="9005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86"/>
      </w:tblGrid>
      <w:tr w:rsidR="0024769B" w:rsidRPr="006049F7" w14:paraId="03753FE8" w14:textId="77777777" w:rsidTr="0065292C">
        <w:trPr>
          <w:trHeight w:val="2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A11F" w14:textId="28508D8C" w:rsidR="0024769B" w:rsidRPr="00A54077" w:rsidRDefault="0024769B" w:rsidP="0065292C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Fund Establishment 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D8E3" w14:textId="77777777" w:rsidR="0024769B" w:rsidRDefault="0024769B" w:rsidP="0065292C">
            <w:pPr>
              <w:pStyle w:val="Body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See Fund Details table below</w:t>
            </w:r>
          </w:p>
        </w:tc>
      </w:tr>
      <w:tr w:rsidR="0024769B" w:rsidRPr="006049F7" w14:paraId="030D2E80" w14:textId="77777777" w:rsidTr="0065292C">
        <w:trPr>
          <w:trHeight w:val="28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46AD" w14:textId="0D298A5B" w:rsidR="0024769B" w:rsidRPr="006049F7" w:rsidRDefault="00B00B1E" w:rsidP="0065292C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Annual </w:t>
            </w:r>
            <w:r w:rsidR="0024769B">
              <w:rPr>
                <w:rFonts w:ascii="Calibri" w:eastAsia="Calibri" w:hAnsi="Calibri" w:cs="Calibri"/>
                <w:sz w:val="22"/>
                <w:szCs w:val="22"/>
              </w:rPr>
              <w:t>Ongoing Fixed Administration Costs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38CF" w14:textId="54A5DE20" w:rsidR="0024769B" w:rsidRPr="006049F7" w:rsidRDefault="0024769B" w:rsidP="0065292C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See Fund Details table below</w:t>
            </w:r>
          </w:p>
        </w:tc>
      </w:tr>
    </w:tbl>
    <w:p w14:paraId="3F91954A" w14:textId="77777777" w:rsidR="0024769B" w:rsidRPr="00BD5A47" w:rsidRDefault="0024769B" w:rsidP="00F712C7">
      <w:pPr>
        <w:spacing w:before="120" w:after="120"/>
        <w:rPr>
          <w:b/>
          <w:sz w:val="28"/>
          <w:szCs w:val="28"/>
          <w:lang w:val="en-GB"/>
        </w:rPr>
      </w:pPr>
    </w:p>
    <w:p w14:paraId="519BDDB5" w14:textId="1731F398" w:rsidR="0082714B" w:rsidRPr="00BD5A47" w:rsidRDefault="004F58BC" w:rsidP="00F712C7">
      <w:pPr>
        <w:keepNext/>
        <w:keepLines/>
        <w:spacing w:before="120" w:after="120"/>
        <w:rPr>
          <w:b/>
          <w:sz w:val="28"/>
          <w:szCs w:val="28"/>
          <w:lang w:val="en-GB"/>
        </w:rPr>
      </w:pPr>
      <w:r w:rsidRPr="00BD5A47">
        <w:rPr>
          <w:b/>
          <w:sz w:val="28"/>
          <w:szCs w:val="28"/>
          <w:lang w:val="en-GB"/>
        </w:rPr>
        <w:lastRenderedPageBreak/>
        <w:t>Parties to the Fund</w:t>
      </w:r>
      <w:r w:rsidR="00F94B4B">
        <w:rPr>
          <w:b/>
          <w:sz w:val="28"/>
          <w:szCs w:val="28"/>
          <w:lang w:val="en-GB"/>
        </w:rPr>
        <w:t>s</w:t>
      </w:r>
      <w:r w:rsidR="002D2801">
        <w:rPr>
          <w:b/>
          <w:sz w:val="28"/>
          <w:szCs w:val="28"/>
          <w:lang w:val="en-GB"/>
        </w:rPr>
        <w:t>:</w:t>
      </w:r>
    </w:p>
    <w:tbl>
      <w:tblPr>
        <w:tblW w:w="8930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69"/>
      </w:tblGrid>
      <w:tr w:rsidR="00F712C7" w:rsidRPr="00BD5A47" w14:paraId="49560157" w14:textId="77777777" w:rsidTr="001E07E8">
        <w:trPr>
          <w:trHeight w:val="2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55A7E" w14:textId="75D91D9D" w:rsidR="00F04330" w:rsidRPr="00BD5A47" w:rsidRDefault="00F04330" w:rsidP="00F712C7">
            <w:pPr>
              <w:pStyle w:val="Body"/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Supervisor</w:t>
            </w:r>
            <w:r w:rsidR="00F17559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(Trustee)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89A2" w14:textId="77777777" w:rsidR="00F04330" w:rsidRPr="00BD5A47" w:rsidRDefault="00F04330" w:rsidP="00F712C7">
            <w:pPr>
              <w:pStyle w:val="Body"/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Public Trust </w:t>
            </w:r>
          </w:p>
        </w:tc>
      </w:tr>
      <w:tr w:rsidR="004F58BC" w:rsidRPr="00BD5A47" w14:paraId="7D31EEA8" w14:textId="77777777" w:rsidTr="001E07E8">
        <w:trPr>
          <w:trHeight w:val="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66D5" w14:textId="522F2C08" w:rsidR="004F58BC" w:rsidRPr="00432FE2" w:rsidRDefault="004F58BC" w:rsidP="004F58BC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32FE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Manager</w:t>
            </w:r>
            <w:r w:rsidR="00F17559" w:rsidRPr="00432FE2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(Issuer)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DB89" w14:textId="64F729FB" w:rsidR="004F58BC" w:rsidRPr="00432FE2" w:rsidRDefault="00D10D78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32FE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Smartshares Limited</w:t>
            </w:r>
          </w:p>
        </w:tc>
      </w:tr>
      <w:tr w:rsidR="002B0282" w:rsidRPr="00BD5A47" w14:paraId="6B8A45A0" w14:textId="77777777" w:rsidTr="001E07E8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29915" w14:textId="4943B95A" w:rsidR="002B0282" w:rsidRPr="00432FE2" w:rsidRDefault="002B0282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32FE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Investment Manager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9B36" w14:textId="790486D4" w:rsidR="002B0282" w:rsidRPr="00432FE2" w:rsidRDefault="00432FE2" w:rsidP="005A2FDC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32FE2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Smartshares Limited</w:t>
            </w:r>
          </w:p>
        </w:tc>
      </w:tr>
      <w:tr w:rsidR="002B0282" w:rsidRPr="00BD5A47" w14:paraId="72D6CC6A" w14:textId="77777777" w:rsidTr="001E07E8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546A" w14:textId="703D1444" w:rsidR="002B0282" w:rsidRPr="00BD5A47" w:rsidRDefault="002B0282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Currency Overlay Manager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E18B5" w14:textId="45E3DADE" w:rsidR="002B0282" w:rsidRDefault="00E11A86" w:rsidP="00470093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Hedging is to be completed in the Underlying Fund</w:t>
            </w:r>
          </w:p>
        </w:tc>
      </w:tr>
      <w:tr w:rsidR="00BF48EE" w:rsidRPr="00BD5A47" w14:paraId="5DC55651" w14:textId="77777777" w:rsidTr="001E07E8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7EC9" w14:textId="3C9FB90D" w:rsidR="00BF48EE" w:rsidRPr="00BD5A47" w:rsidRDefault="00BF48EE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Administrator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4BAF6" w14:textId="12D2E909" w:rsidR="00BF48EE" w:rsidRPr="00BD5A47" w:rsidRDefault="00D10D78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BNPP</w:t>
            </w:r>
          </w:p>
        </w:tc>
      </w:tr>
      <w:tr w:rsidR="00F712C7" w:rsidRPr="00BD5A47" w14:paraId="3E2F9AE1" w14:textId="77777777" w:rsidTr="001E07E8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3941" w14:textId="267A4B19" w:rsidR="00F04330" w:rsidRPr="00BD5A47" w:rsidRDefault="00BF48EE" w:rsidP="00F712C7">
            <w:pPr>
              <w:pStyle w:val="Body"/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Registrar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3381" w14:textId="412DD857" w:rsidR="00F04330" w:rsidRPr="00BD5A47" w:rsidRDefault="00D10D78" w:rsidP="00F712C7">
            <w:pPr>
              <w:pStyle w:val="Body"/>
              <w:keepNext/>
              <w:keepLines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Link</w:t>
            </w:r>
            <w:r w:rsidR="00AC0F7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Market Services Limited</w:t>
            </w:r>
          </w:p>
        </w:tc>
      </w:tr>
      <w:tr w:rsidR="00F04330" w:rsidRPr="00BD5A47" w14:paraId="69B43F86" w14:textId="77777777" w:rsidTr="001E07E8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7A5C" w14:textId="77777777" w:rsidR="00F04330" w:rsidRPr="00BD5A47" w:rsidRDefault="00F04330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Custodian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0658" w14:textId="1B139AB3" w:rsidR="00F04330" w:rsidRPr="00BD5A47" w:rsidRDefault="00D10D78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BNPP</w:t>
            </w:r>
          </w:p>
        </w:tc>
      </w:tr>
      <w:tr w:rsidR="00F04330" w:rsidRPr="00BD5A47" w14:paraId="399D4F87" w14:textId="77777777" w:rsidTr="001E07E8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5E48D" w14:textId="77777777" w:rsidR="00F04330" w:rsidRPr="00BD5A47" w:rsidRDefault="00F04330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Auditor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CC23" w14:textId="08EC90A0" w:rsidR="00F04330" w:rsidRPr="00BD5A47" w:rsidRDefault="00EB3E3F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KPMG</w:t>
            </w:r>
            <w:r w:rsidR="009D7D6E"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F04330" w:rsidRPr="00BD5A47" w14:paraId="51EF6542" w14:textId="77777777" w:rsidTr="001E07E8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0CEC6" w14:textId="77777777" w:rsidR="00F04330" w:rsidRPr="00BD5A47" w:rsidRDefault="00F04330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Tax Advisor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6EE0" w14:textId="2B436C55" w:rsidR="00F04330" w:rsidRPr="00BD5A47" w:rsidRDefault="002C431E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Deloitte NZ </w:t>
            </w:r>
          </w:p>
        </w:tc>
      </w:tr>
      <w:tr w:rsidR="00F04330" w:rsidRPr="00BD5A47" w14:paraId="5A3B049F" w14:textId="77777777" w:rsidTr="001E07E8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85AB" w14:textId="77777777" w:rsidR="00F04330" w:rsidRPr="00BD5A47" w:rsidRDefault="00F04330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Legal Advisor for Fund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D227" w14:textId="4EADF5C5" w:rsidR="00F04330" w:rsidRPr="00BD5A47" w:rsidRDefault="002C431E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DLA Piper </w:t>
            </w:r>
          </w:p>
        </w:tc>
      </w:tr>
      <w:tr w:rsidR="00C8390C" w:rsidRPr="00BD5A47" w14:paraId="38AF1FB9" w14:textId="77777777" w:rsidTr="001E07E8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BF65" w14:textId="73FB0454" w:rsidR="00C8390C" w:rsidRPr="00BD5A47" w:rsidRDefault="00C8390C" w:rsidP="00B23EB2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D5A47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Customer Service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4767" w14:textId="3A04BA57" w:rsidR="00C8390C" w:rsidRPr="00BD5A47" w:rsidRDefault="00B23EB2" w:rsidP="00F712C7">
            <w:pPr>
              <w:pStyle w:val="Body"/>
              <w:keepNext/>
              <w:keepLines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Smartshares Limited</w:t>
            </w:r>
          </w:p>
        </w:tc>
      </w:tr>
    </w:tbl>
    <w:p w14:paraId="252D3B87" w14:textId="77777777" w:rsidR="00F04330" w:rsidRDefault="00F04330">
      <w:pPr>
        <w:rPr>
          <w:lang w:val="en-GB"/>
        </w:rPr>
      </w:pPr>
    </w:p>
    <w:p w14:paraId="0C4ED328" w14:textId="77777777" w:rsidR="00B35D84" w:rsidRDefault="00B35D84">
      <w:pPr>
        <w:rPr>
          <w:lang w:val="en-GB"/>
        </w:rPr>
      </w:pPr>
    </w:p>
    <w:p w14:paraId="3B13CD82" w14:textId="2A90BE77" w:rsidR="00995D51" w:rsidRDefault="002D2801">
      <w:pPr>
        <w:rPr>
          <w:b/>
          <w:sz w:val="28"/>
          <w:szCs w:val="28"/>
          <w:lang w:val="en-GB"/>
        </w:rPr>
      </w:pPr>
      <w:r w:rsidRPr="002D2801">
        <w:rPr>
          <w:b/>
          <w:sz w:val="28"/>
          <w:szCs w:val="28"/>
          <w:lang w:val="en-GB"/>
        </w:rPr>
        <w:t xml:space="preserve">Fund </w:t>
      </w:r>
      <w:r>
        <w:rPr>
          <w:b/>
          <w:sz w:val="28"/>
          <w:szCs w:val="28"/>
          <w:lang w:val="en-GB"/>
        </w:rPr>
        <w:t>Details:</w:t>
      </w:r>
    </w:p>
    <w:p w14:paraId="5F9630EA" w14:textId="69D4ED0C" w:rsidR="00D8681C" w:rsidRPr="00D8681C" w:rsidRDefault="00D8681C">
      <w:pPr>
        <w:rPr>
          <w:sz w:val="22"/>
          <w:szCs w:val="22"/>
          <w:lang w:val="en-GB"/>
        </w:rPr>
        <w:sectPr w:rsidR="00D8681C" w:rsidRPr="00D8681C" w:rsidSect="00F84E41">
          <w:headerReference w:type="default" r:id="rId9"/>
          <w:footerReference w:type="even" r:id="rId10"/>
          <w:footerReference w:type="default" r:id="rId11"/>
          <w:pgSz w:w="11900" w:h="16840"/>
          <w:pgMar w:top="1418" w:right="1440" w:bottom="1440" w:left="1440" w:header="568" w:footer="708" w:gutter="0"/>
          <w:cols w:space="708"/>
          <w:docGrid w:linePitch="360"/>
        </w:sectPr>
      </w:pPr>
      <w:r w:rsidRPr="00D8681C">
        <w:rPr>
          <w:sz w:val="22"/>
          <w:szCs w:val="22"/>
          <w:lang w:val="en-GB"/>
        </w:rPr>
        <w:t>See tables on pages that follow.</w:t>
      </w:r>
    </w:p>
    <w:tbl>
      <w:tblPr>
        <w:tblW w:w="14033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693"/>
        <w:gridCol w:w="2693"/>
        <w:gridCol w:w="2693"/>
      </w:tblGrid>
      <w:tr w:rsidR="00031B45" w:rsidRPr="009E1D22" w14:paraId="4F9A9EDC" w14:textId="75F1475C" w:rsidTr="00031B45">
        <w:trPr>
          <w:trHeight w:val="2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8C20" w14:textId="038BEA3E" w:rsidR="00031B45" w:rsidRPr="009E1D22" w:rsidRDefault="00031B45" w:rsidP="005140F3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lastRenderedPageBreak/>
              <w:t>Fund Name: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38463" w14:textId="1692A89D" w:rsidR="00031B45" w:rsidRPr="009E1D22" w:rsidRDefault="00186C12" w:rsidP="005500C6">
            <w:pPr>
              <w:pStyle w:val="Body"/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Smartshares </w:t>
            </w:r>
            <w:r w:rsidR="005500C6" w:rsidRPr="009E1D2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Global</w:t>
            </w:r>
            <w:r w:rsidR="009E1D22" w:rsidRPr="009E1D2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Equities ESG </w:t>
            </w:r>
            <w:r w:rsidR="005500C6" w:rsidRPr="009E1D2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D9D4" w14:textId="4B907A31" w:rsidR="00031B45" w:rsidRPr="009E1D22" w:rsidRDefault="005500C6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Smartshares Global Aggregate Bond ETF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1F34" w14:textId="1499FC71" w:rsidR="00031B45" w:rsidRPr="009E1D22" w:rsidRDefault="00A21118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Smartshares Automation and Robotics ETF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1B7D" w14:textId="45CAC6B3" w:rsidR="00031B45" w:rsidRPr="009E1D22" w:rsidRDefault="00995B5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Smartshares Healthcare Innovation ETF</w:t>
            </w:r>
          </w:p>
        </w:tc>
      </w:tr>
      <w:tr w:rsidR="00031B45" w:rsidRPr="009E1D22" w14:paraId="0548B152" w14:textId="2312E9FB" w:rsidTr="00031B45">
        <w:trPr>
          <w:trHeight w:val="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D300A" w14:textId="684E0845" w:rsidR="00031B45" w:rsidRPr="009E1D22" w:rsidRDefault="00031B45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Ticker: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F2D5" w14:textId="3F3230F6" w:rsidR="00031B45" w:rsidRPr="00194BE1" w:rsidRDefault="001D67F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ESG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DC44" w14:textId="7B7C330F" w:rsidR="00031B45" w:rsidRPr="00194BE1" w:rsidRDefault="001D67F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AGG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D28" w14:textId="66BFCB72" w:rsidR="00031B45" w:rsidRPr="00194BE1" w:rsidRDefault="00194BE1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194BE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BOT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BFEB" w14:textId="4778FD57" w:rsidR="00031B45" w:rsidRPr="00194BE1" w:rsidRDefault="001D67F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LIV</w:t>
            </w:r>
          </w:p>
        </w:tc>
      </w:tr>
      <w:tr w:rsidR="00186C12" w:rsidRPr="009E1D22" w14:paraId="08A460B9" w14:textId="77777777" w:rsidTr="00031B45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4A9D1" w14:textId="58A1A99A" w:rsidR="00186C12" w:rsidRPr="009E1D22" w:rsidRDefault="00217563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The Smartshares Fund will invest in the following</w:t>
            </w:r>
            <w:r w:rsidR="00186C12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BlackRock Fund</w:t>
            </w:r>
            <w:r w:rsidR="00497DCD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(Underlying Fund)</w:t>
            </w:r>
            <w:r w:rsidR="00186C12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6828" w14:textId="7FB1447E" w:rsidR="00186C12" w:rsidRPr="009E1D22" w:rsidRDefault="005500C6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World ESG Screened UCITS ETF</w:t>
            </w:r>
            <w:r w:rsid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USD (</w:t>
            </w:r>
            <w:proofErr w:type="spellStart"/>
            <w:r w:rsid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86F8" w14:textId="70F507C6" w:rsidR="00186C12" w:rsidRPr="009E1D22" w:rsidRDefault="008D303B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Global Aggregate Bond UCITS ETF NZD Hedged (</w:t>
            </w:r>
            <w:proofErr w:type="spellStart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BA07" w14:textId="0338224E" w:rsidR="00186C12" w:rsidRPr="009E1D22" w:rsidRDefault="008D303B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Automation &amp; Robotics UCITS ETF USD (</w:t>
            </w:r>
            <w:proofErr w:type="spellStart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Pr="008D303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26188" w14:textId="760A1771" w:rsidR="00186C12" w:rsidRPr="009E1D22" w:rsidRDefault="00BB59CA" w:rsidP="00995B57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Hea</w:t>
            </w:r>
            <w:r w:rsidR="00995B5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lthcare Innovation UCITS ETF USD </w:t>
            </w:r>
            <w:r w:rsidR="00995B57" w:rsidRPr="00B318B5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="00995B57" w:rsidRPr="00B318B5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="00995B57" w:rsidRPr="00B318B5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031B45" w:rsidRPr="009E1D22" w14:paraId="20FD2D60" w14:textId="4C0E3BD9" w:rsidTr="00031B45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4565" w14:textId="6DF1210D" w:rsidR="00031B45" w:rsidRPr="009E1D22" w:rsidRDefault="00E92BA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Smartshares Fund </w:t>
            </w:r>
            <w:r w:rsidR="00031B45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Description</w:t>
            </w:r>
            <w:r w:rsidR="00B20F08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and Investment Objective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(as drafted in the Product Disclosure Statement)</w:t>
            </w:r>
            <w:r w:rsidR="00E0721D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5499C" w14:textId="5F49C8F9" w:rsidR="002317A7" w:rsidRPr="009E1D22" w:rsidRDefault="003E31F3" w:rsidP="002317A7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Invests </w:t>
            </w:r>
            <w:r w:rsidR="002317A7">
              <w:rPr>
                <w:rFonts w:asciiTheme="minorHAnsi" w:hAnsiTheme="minorHAnsi" w:cstheme="minorHAnsi"/>
                <w:sz w:val="20"/>
                <w:szCs w:val="20"/>
              </w:rPr>
              <w:t xml:space="preserve">in the </w:t>
            </w:r>
            <w:proofErr w:type="spellStart"/>
            <w:r w:rsidR="002317A7">
              <w:rPr>
                <w:rFonts w:asciiTheme="minorHAnsi" w:hAnsiTheme="minorHAnsi" w:cstheme="minorHAnsi"/>
                <w:sz w:val="20"/>
                <w:szCs w:val="20"/>
              </w:rPr>
              <w:t>iShares</w:t>
            </w:r>
            <w:proofErr w:type="spellEnd"/>
            <w:r w:rsidR="002317A7">
              <w:rPr>
                <w:rFonts w:asciiTheme="minorHAnsi" w:hAnsiTheme="minorHAnsi" w:cstheme="minorHAnsi"/>
                <w:sz w:val="20"/>
                <w:szCs w:val="20"/>
              </w:rPr>
              <w:t xml:space="preserve"> MSCI World ESG Screened UCITS ETF, which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is designed</w:t>
            </w:r>
            <w:proofErr w:type="gramEnd"/>
            <w:r w:rsidR="002317A7">
              <w:rPr>
                <w:rFonts w:asciiTheme="minorHAnsi" w:hAnsiTheme="minorHAnsi" w:cstheme="minorHAnsi"/>
                <w:sz w:val="20"/>
                <w:szCs w:val="20"/>
              </w:rPr>
              <w:t xml:space="preserve"> to track the </w:t>
            </w:r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MSCI World ESG Screened Index.</w:t>
            </w:r>
          </w:p>
          <w:p w14:paraId="07BE0CC9" w14:textId="1ADB5B7A" w:rsidR="00031B45" w:rsidRPr="009E1D22" w:rsidRDefault="00031B45" w:rsidP="002317A7">
            <w:pPr>
              <w:pStyle w:val="Bod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6CC6" w14:textId="412DBF8E" w:rsidR="00031B45" w:rsidRPr="009E1D22" w:rsidRDefault="003E31F3" w:rsidP="003E31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Invests 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in the </w:t>
            </w:r>
            <w:proofErr w:type="spellStart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Core Global Aggregate Bond UCITS ETF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, which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 designed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o track the Bloomberg Barclays Global aggregate Index in </w:t>
            </w:r>
            <w:r w:rsidR="00FC6BD4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NZD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FFE6" w14:textId="5642EA31" w:rsidR="00031B45" w:rsidRPr="009E1D22" w:rsidRDefault="00F0614E" w:rsidP="00F0614E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Invests</w:t>
            </w:r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in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the</w:t>
            </w:r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Automation &amp; Robotics UCITS ETF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, which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 designed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to track</w:t>
            </w:r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the </w:t>
            </w:r>
            <w:proofErr w:type="spellStart"/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iSTOXX</w:t>
            </w:r>
            <w:proofErr w:type="spellEnd"/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FactSet</w:t>
            </w:r>
            <w:proofErr w:type="spellEnd"/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Automation and Robotics Index.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E7D0" w14:textId="1116B4B4" w:rsidR="00031B45" w:rsidRPr="009E1D22" w:rsidRDefault="00802497" w:rsidP="00802497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Invests</w:t>
            </w:r>
            <w:r w:rsidR="002317A7">
              <w:rPr>
                <w:rFonts w:asciiTheme="minorHAnsi" w:hAnsiTheme="minorHAnsi" w:cstheme="minorHAnsi"/>
                <w:sz w:val="20"/>
                <w:szCs w:val="20"/>
              </w:rPr>
              <w:t xml:space="preserve"> in the</w:t>
            </w:r>
            <w:r w:rsidR="00995B57" w:rsidRPr="009E1D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Healthcare Innovation UCITS ETF USD (</w:t>
            </w:r>
            <w:proofErr w:type="spellStart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, which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 designed</w:t>
            </w:r>
            <w:proofErr w:type="gramEnd"/>
            <w:r w:rsidR="002317A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to track the </w:t>
            </w:r>
            <w:proofErr w:type="spellStart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iSTOXX</w:t>
            </w:r>
            <w:proofErr w:type="spellEnd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FactSet</w:t>
            </w:r>
            <w:proofErr w:type="spellEnd"/>
            <w:r w:rsidR="002317A7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Breakthrough Healthcare Index.</w:t>
            </w:r>
          </w:p>
        </w:tc>
      </w:tr>
      <w:tr w:rsidR="00031B45" w:rsidRPr="009E1D22" w14:paraId="5CA6A90A" w14:textId="7733CFEB" w:rsidTr="00031B45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271C0" w14:textId="39B06731" w:rsidR="00031B45" w:rsidRPr="009E1D22" w:rsidRDefault="00031B45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Asset Class: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9D3A" w14:textId="4ACD101B" w:rsidR="00031B45" w:rsidRPr="009E1D22" w:rsidRDefault="00186C12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Trebuchet MS" w:hAnsiTheme="minorHAnsi" w:cstheme="minorHAnsi"/>
                <w:sz w:val="20"/>
                <w:szCs w:val="20"/>
                <w:lang w:val="en-GB"/>
              </w:rPr>
              <w:t>Global Equities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5BA6" w14:textId="1EE8428F" w:rsidR="00031B45" w:rsidRPr="009E1D22" w:rsidRDefault="003F54E9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Global Fixed Income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253E" w14:textId="27F18863" w:rsidR="00031B45" w:rsidRPr="009E1D22" w:rsidRDefault="00A21118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Global Equities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62CC" w14:textId="2505BCE4" w:rsidR="00031B45" w:rsidRPr="009E1D22" w:rsidRDefault="00995B5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Global Equities</w:t>
            </w:r>
          </w:p>
        </w:tc>
      </w:tr>
      <w:tr w:rsidR="00031B45" w:rsidRPr="009E1D22" w14:paraId="40178055" w14:textId="68C22438" w:rsidTr="00031B45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BEDA" w14:textId="321658AE" w:rsidR="00031B45" w:rsidRPr="009E1D22" w:rsidRDefault="00173E9D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Investment objective of </w:t>
            </w:r>
            <w:r w:rsidR="00B94BF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nderlying </w:t>
            </w:r>
            <w:r w:rsidR="00B94BF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und</w:t>
            </w:r>
            <w:r w:rsidR="00B94BFB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19A5" w14:textId="77777777" w:rsidR="00031B45" w:rsidRDefault="006C6CC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6C6CC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The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Underlying F</w:t>
            </w:r>
            <w:r w:rsidRPr="006C6CC7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und seeks to track the performance of an index composed of developed market companies screened for exposure to thermal coal, controversial weapons, tobacco, and other controversial industries.</w:t>
            </w:r>
          </w:p>
          <w:p w14:paraId="4D6DBCF0" w14:textId="77777777" w:rsidR="00C92F9D" w:rsidRDefault="00C92F9D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713958FB" w14:textId="7942FF57" w:rsidR="00C92F9D" w:rsidRPr="009E1D22" w:rsidRDefault="00315DF2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hyperlink r:id="rId12" w:history="1">
              <w:r w:rsidR="00C92F9D" w:rsidRPr="00C92F9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878" w14:textId="77777777" w:rsidR="00031B45" w:rsidRDefault="00C92F9D" w:rsidP="00C92F9D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C92F9D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C92F9D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C92F9D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Global Aggregate Bond UCITS ETF seeks to track the investment results of an index composed of global investment grade bonds.</w:t>
            </w:r>
          </w:p>
          <w:p w14:paraId="45DED138" w14:textId="77777777" w:rsidR="00C92F9D" w:rsidRDefault="00C92F9D" w:rsidP="00C92F9D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4FEB3380" w14:textId="4EA1DF04" w:rsidR="00C92F9D" w:rsidRPr="00A43219" w:rsidRDefault="00315DF2" w:rsidP="00C92F9D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hyperlink r:id="rId13" w:history="1">
              <w:r w:rsidR="00C92F9D" w:rsidRPr="00C92F9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2604" w14:textId="77777777" w:rsidR="00031B45" w:rsidRDefault="00836B16" w:rsidP="00836B16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36B1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The Fund seeks to track the performance of an index composed of developed and emerging market </w:t>
            </w:r>
            <w:proofErr w:type="gramStart"/>
            <w:r w:rsidRPr="00836B1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companies which are generating significant revenues from specific sectors</w:t>
            </w:r>
            <w:proofErr w:type="gramEnd"/>
            <w:r w:rsidRPr="00836B1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associated with the development of automatic and robotic technology.</w:t>
            </w:r>
          </w:p>
          <w:p w14:paraId="218F426B" w14:textId="77777777" w:rsidR="00836B16" w:rsidRDefault="00836B16" w:rsidP="00836B16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1AF43337" w14:textId="4CE6672F" w:rsidR="00836B16" w:rsidRPr="00C25E73" w:rsidRDefault="00315DF2" w:rsidP="00836B16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hyperlink r:id="rId14" w:history="1">
              <w:r w:rsidR="00836B16" w:rsidRPr="00C92F9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2B40" w14:textId="77777777" w:rsidR="00031B45" w:rsidRDefault="00836B16" w:rsidP="00836B16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836B1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The Fund seeks to track the performance of an index composed of developed and emerging market </w:t>
            </w:r>
            <w:proofErr w:type="gramStart"/>
            <w:r w:rsidRPr="00836B1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companies which are generating significant revenues from specific sectors</w:t>
            </w:r>
            <w:proofErr w:type="gramEnd"/>
            <w:r w:rsidRPr="00836B1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focused on pushing the boundaries in medical treatment and technology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.</w:t>
            </w:r>
          </w:p>
          <w:p w14:paraId="58621615" w14:textId="77777777" w:rsidR="00836B16" w:rsidRDefault="00836B16" w:rsidP="00836B16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</w:p>
          <w:p w14:paraId="273EAA61" w14:textId="1A8CA6D1" w:rsidR="00836B16" w:rsidRPr="009E1D22" w:rsidRDefault="00315DF2" w:rsidP="00836B16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hyperlink r:id="rId15" w:history="1">
              <w:r w:rsidR="00836B16" w:rsidRPr="00C92F9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</w:hyperlink>
          </w:p>
        </w:tc>
      </w:tr>
      <w:tr w:rsidR="003F54E9" w:rsidRPr="009E1D22" w14:paraId="7F8928B7" w14:textId="0C54ABFB" w:rsidTr="00031B45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1884" w14:textId="76D7C2F1" w:rsidR="003F54E9" w:rsidRPr="009E1D22" w:rsidRDefault="003F54E9" w:rsidP="00C92F9D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Benchmark</w:t>
            </w:r>
            <w:r w:rsidR="00C92F9D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Index (Underlying Fund)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AA77E" w14:textId="4E5E8013" w:rsidR="003F54E9" w:rsidRPr="009E1D22" w:rsidRDefault="003F54E9" w:rsidP="003F54E9">
            <w:pPr>
              <w:pStyle w:val="Body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MSCI World ESG Screened Index.</w:t>
            </w:r>
          </w:p>
          <w:p w14:paraId="6BF05F69" w14:textId="2FABC94D" w:rsidR="003F54E9" w:rsidRPr="009E1D22" w:rsidRDefault="003F54E9" w:rsidP="003F54E9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783D" w14:textId="40BB6430" w:rsidR="003F54E9" w:rsidRPr="009E1D22" w:rsidRDefault="003F54E9" w:rsidP="00C92F9D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Bloomberg Barclays Global Aggregate Index in New Zealand Dollars (NZD).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B1FA" w14:textId="6FFF51DD" w:rsidR="003F54E9" w:rsidRPr="009E1D22" w:rsidRDefault="00A21118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iSTOXX</w:t>
            </w:r>
            <w:proofErr w:type="spellEnd"/>
            <w:proofErr w:type="gram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FactSet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Automation and Robotics Index.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6108" w14:textId="30F46F9E" w:rsidR="003F54E9" w:rsidRPr="009E1D22" w:rsidRDefault="00995B57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iSTOXX</w:t>
            </w:r>
            <w:proofErr w:type="spellEnd"/>
            <w:proofErr w:type="gram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FactSet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Breakthrough Healthcare Index.</w:t>
            </w:r>
          </w:p>
        </w:tc>
      </w:tr>
      <w:tr w:rsidR="003F54E9" w:rsidRPr="009E1D22" w14:paraId="1E86C5F3" w14:textId="6DEA8253" w:rsidTr="00031B45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244E2" w14:textId="1C66A846" w:rsidR="003F54E9" w:rsidRPr="009E1D22" w:rsidRDefault="0013197A" w:rsidP="00F455E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Smartshares </w:t>
            </w:r>
            <w:r w:rsidR="003F54E9" w:rsidRPr="009E1D22">
              <w:rPr>
                <w:rFonts w:asciiTheme="minorHAnsi" w:eastAsia="Calibri" w:hAnsiTheme="minorHAnsi" w:cstheme="minorHAnsi"/>
                <w:sz w:val="20"/>
                <w:szCs w:val="20"/>
              </w:rPr>
              <w:t>FX Hedging Strategy</w:t>
            </w:r>
            <w:r w:rsidR="00E0721D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70BC" w14:textId="4E99B261" w:rsidR="003F54E9" w:rsidRPr="009E1D22" w:rsidRDefault="00C926F8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Unhedged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576" w14:textId="1B88C90E" w:rsidR="003F54E9" w:rsidRPr="009E1D22" w:rsidRDefault="008D303B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Hedged </w:t>
            </w:r>
            <w:r w:rsidR="00A21118" w:rsidRPr="009E1D22">
              <w:rPr>
                <w:rFonts w:asciiTheme="minorHAnsi" w:eastAsia="Calibri" w:hAnsiTheme="minorHAnsi" w:cstheme="minorHAnsi"/>
                <w:sz w:val="20"/>
                <w:szCs w:val="20"/>
              </w:rPr>
              <w:t>to NZD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BBA" w14:textId="02866189" w:rsidR="003F54E9" w:rsidRPr="009E1D22" w:rsidRDefault="00C926F8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Unhedged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D1AB" w14:textId="75155A0A" w:rsidR="003F54E9" w:rsidRPr="009E1D22" w:rsidRDefault="00C926F8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Unhedged</w:t>
            </w:r>
          </w:p>
        </w:tc>
      </w:tr>
      <w:tr w:rsidR="003F54E9" w:rsidRPr="009E1D22" w14:paraId="27D93D12" w14:textId="228BCADA" w:rsidTr="00031B45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4B31A" w14:textId="524CB514" w:rsidR="003F54E9" w:rsidRPr="009E1D22" w:rsidRDefault="003F54E9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lastRenderedPageBreak/>
              <w:t>Total Fund Charges paid by Investor in Smartshares Fund: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AC49" w14:textId="7B24A4EC" w:rsidR="003F54E9" w:rsidRPr="009E1D22" w:rsidRDefault="009C1455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54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% p.a.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79B2" w14:textId="43E1E511" w:rsidR="003F54E9" w:rsidRPr="009E1D22" w:rsidRDefault="009C1455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3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0% p.a.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4D062" w14:textId="70A91BAC" w:rsidR="003F54E9" w:rsidRPr="009E1D22" w:rsidRDefault="009C1455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75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% p.a.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7599" w14:textId="2A463885" w:rsidR="003F54E9" w:rsidRPr="009E1D22" w:rsidRDefault="009C1455" w:rsidP="003F54E9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75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% p.a.</w:t>
            </w:r>
          </w:p>
        </w:tc>
      </w:tr>
    </w:tbl>
    <w:p w14:paraId="34A7F139" w14:textId="77777777" w:rsidR="00B35D84" w:rsidRPr="009E1D22" w:rsidRDefault="00B35D84">
      <w:pPr>
        <w:rPr>
          <w:rFonts w:cstheme="minorHAnsi"/>
          <w:sz w:val="20"/>
          <w:szCs w:val="20"/>
          <w:lang w:val="en-GB"/>
        </w:rPr>
      </w:pPr>
    </w:p>
    <w:tbl>
      <w:tblPr>
        <w:tblW w:w="14032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2"/>
        <w:gridCol w:w="2693"/>
        <w:gridCol w:w="2693"/>
        <w:gridCol w:w="2693"/>
      </w:tblGrid>
      <w:tr w:rsidR="002D2801" w:rsidRPr="009E1D22" w14:paraId="17BCCCF6" w14:textId="77777777" w:rsidTr="004E2460">
        <w:trPr>
          <w:trHeight w:val="25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5ABC" w14:textId="77777777" w:rsidR="002D2801" w:rsidRPr="009E1D22" w:rsidRDefault="002D2801" w:rsidP="005140F3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lastRenderedPageBreak/>
              <w:t>Fund Name: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BF2E" w14:textId="69A7C9A2" w:rsidR="002D2801" w:rsidRPr="009E1D22" w:rsidRDefault="00F22105" w:rsidP="005140F3">
            <w:pPr>
              <w:pStyle w:val="Body"/>
              <w:keepNext/>
              <w:keepLines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Smartshares Emerging Markets </w:t>
            </w:r>
            <w:r w:rsidR="00BB59CA" w:rsidRPr="009E1D2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Equities </w:t>
            </w:r>
            <w:r w:rsidRPr="009E1D22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ESG ETF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1C3A" w14:textId="0A030C8C" w:rsidR="002D2801" w:rsidRPr="009E1D22" w:rsidRDefault="00145D83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Smartshares Japan Equities ESG ETF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D914" w14:textId="735D06AA" w:rsidR="002D2801" w:rsidRPr="009E1D22" w:rsidRDefault="008439E8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Smartshares Europe Equities ESG ETF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9F58" w14:textId="029BE675" w:rsidR="002D2801" w:rsidRPr="009E1D22" w:rsidRDefault="008439E8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/>
              </w:rPr>
              <w:t>Smartshares US Equities ESG ETF</w:t>
            </w:r>
          </w:p>
        </w:tc>
      </w:tr>
      <w:tr w:rsidR="002D2801" w:rsidRPr="009E1D22" w14:paraId="355FB8C5" w14:textId="77777777" w:rsidTr="004E2460">
        <w:trPr>
          <w:trHeight w:val="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B29D" w14:textId="77777777" w:rsidR="002D2801" w:rsidRPr="009E1D22" w:rsidRDefault="002D2801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Ticker: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0230" w14:textId="213C2BF3" w:rsidR="002D2801" w:rsidRPr="00194BE1" w:rsidRDefault="001D67F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EMG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940C" w14:textId="072A79F4" w:rsidR="002D2801" w:rsidRPr="00194BE1" w:rsidRDefault="001D67F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JPN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7B6E" w14:textId="5B36F69B" w:rsidR="002D2801" w:rsidRPr="00194BE1" w:rsidRDefault="001D67F7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EUG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1A74" w14:textId="7161C14B" w:rsidR="002D2801" w:rsidRPr="00194BE1" w:rsidRDefault="0089156C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194BE1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val="en-GB"/>
              </w:rPr>
              <w:t>USA</w:t>
            </w:r>
          </w:p>
        </w:tc>
      </w:tr>
      <w:tr w:rsidR="002C608B" w:rsidRPr="009E1D22" w14:paraId="429A0C00" w14:textId="77777777" w:rsidTr="004E2460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353C" w14:textId="09B93641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The Smartshares Fund will invest in the following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BlackRock Fund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(Underlying Fund)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0635" w14:textId="2ADB509A" w:rsidR="002C608B" w:rsidRPr="009E1D22" w:rsidRDefault="00637446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EM IMI ESG Screened UCITS ETF USD (</w:t>
            </w:r>
            <w:proofErr w:type="spellStart"/>
            <w:r w:rsidRP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P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D6B4" w14:textId="316F708B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Japan ESG Screened UCITS ETF</w:t>
            </w:r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USD (</w:t>
            </w:r>
            <w:proofErr w:type="spellStart"/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7AC1" w14:textId="6486B15C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Europe ESG Screened UCITS ETF</w:t>
            </w:r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USD (</w:t>
            </w:r>
            <w:proofErr w:type="spellStart"/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FCE7" w14:textId="1E4F0BD6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USA ESG Screened UCITS ETF</w:t>
            </w:r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USD (</w:t>
            </w:r>
            <w:proofErr w:type="spellStart"/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Acc</w:t>
            </w:r>
            <w:proofErr w:type="spellEnd"/>
            <w:r w:rsidR="00637446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)</w:t>
            </w:r>
          </w:p>
        </w:tc>
      </w:tr>
      <w:tr w:rsidR="002C608B" w:rsidRPr="009E1D22" w14:paraId="3E9F972E" w14:textId="77777777" w:rsidTr="004E2460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B2CED" w14:textId="72745DEF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Smartshares Fund 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Description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and Investment Objective (as drafted in the Product Disclosure Statement):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3A2B" w14:textId="6579C02B" w:rsidR="002C608B" w:rsidRPr="009E1D22" w:rsidRDefault="002C608B" w:rsidP="002C608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Invests in the </w:t>
            </w:r>
            <w:proofErr w:type="spellStart"/>
            <w:r w:rsidRPr="009E1D22">
              <w:rPr>
                <w:rFonts w:eastAsia="Calibr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9E1D22">
              <w:rPr>
                <w:rFonts w:eastAsia="Calibri" w:cstheme="minorHAnsi"/>
                <w:sz w:val="20"/>
                <w:szCs w:val="20"/>
                <w:lang w:val="en-GB"/>
              </w:rPr>
              <w:t xml:space="preserve"> MSCI EM IMI ESG Screened UCITS ETF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, which </w:t>
            </w:r>
            <w:proofErr w:type="gramStart"/>
            <w:r>
              <w:rPr>
                <w:rFonts w:eastAsia="Calibri" w:cstheme="minorHAnsi"/>
                <w:sz w:val="20"/>
                <w:szCs w:val="20"/>
                <w:lang w:val="en-GB"/>
              </w:rPr>
              <w:t>is designed</w:t>
            </w:r>
            <w:proofErr w:type="gramEnd"/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to track the return of the </w:t>
            </w:r>
            <w:r w:rsidRPr="009E1D22">
              <w:rPr>
                <w:rFonts w:cstheme="minorHAnsi"/>
                <w:sz w:val="20"/>
                <w:szCs w:val="20"/>
              </w:rPr>
              <w:t>MSCI EM IMI ESG Screened Index.</w:t>
            </w:r>
            <w:r>
              <w:rPr>
                <w:rFonts w:eastAsia="Calibr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5B5A" w14:textId="1A5EC09C" w:rsidR="002C608B" w:rsidRPr="009E1D22" w:rsidRDefault="002C608B" w:rsidP="002C608B">
            <w:pPr>
              <w:pStyle w:val="Body"/>
              <w:keepNext/>
              <w:keepLines/>
              <w:rPr>
                <w:rFonts w:eastAsia="Times New Roman" w:cstheme="minorHAnsi"/>
                <w:color w:val="000000" w:themeColor="text1"/>
                <w:sz w:val="20"/>
                <w:szCs w:val="20"/>
                <w:lang w:val="en-NZ" w:eastAsia="en-NZ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Invests in the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Japan ESG Screened UCITS ETF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, which is designed to track the return of the </w:t>
            </w:r>
          </w:p>
          <w:p w14:paraId="11CF54B2" w14:textId="7E3B1570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hAnsiTheme="minorHAnsi" w:cstheme="minorHAnsi"/>
                <w:sz w:val="20"/>
                <w:szCs w:val="20"/>
              </w:rPr>
              <w:t>MSCI Japan ESG Screened Index.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F8AB" w14:textId="4AB1380C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Invests in the </w:t>
            </w: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Europe ESG Screened UCITS ETF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, which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 designed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to track the return of the 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MSCI Europe ESG Screened Index.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A751" w14:textId="684EE759" w:rsidR="002C608B" w:rsidRPr="006E22F4" w:rsidRDefault="002C608B" w:rsidP="002C608B">
            <w:pPr>
              <w:pStyle w:val="Body"/>
              <w:keepNext/>
              <w:keepLines/>
              <w:rPr>
                <w:rFonts w:eastAsia="Times New Roman" w:cstheme="minorHAnsi"/>
                <w:color w:val="000000" w:themeColor="text1"/>
                <w:sz w:val="20"/>
                <w:szCs w:val="20"/>
                <w:lang w:val="en-NZ" w:eastAsia="en-NZ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Invests in the </w:t>
            </w:r>
            <w:proofErr w:type="spellStart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iShares</w:t>
            </w:r>
            <w:proofErr w:type="spellEnd"/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MSCI USA ESG Screened UCITS ETF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, which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is designed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to track the return of the MSCI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USA ESG Screened Index</w:t>
            </w:r>
            <w:r w:rsidRPr="009E1D22">
              <w:rPr>
                <w:rFonts w:eastAsia="Times New Roman" w:cstheme="minorHAnsi"/>
                <w:color w:val="000000" w:themeColor="text1"/>
                <w:sz w:val="20"/>
                <w:szCs w:val="20"/>
                <w:lang w:val="en-NZ" w:eastAsia="en-NZ"/>
              </w:rPr>
              <w:t>.</w:t>
            </w:r>
          </w:p>
        </w:tc>
      </w:tr>
      <w:tr w:rsidR="002C608B" w:rsidRPr="009E1D22" w14:paraId="7EFA93AB" w14:textId="77777777" w:rsidTr="004E2460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7A7DD" w14:textId="64B04676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Asset Class: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8F32" w14:textId="70F0B79B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Emerging Market Equities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36B3" w14:textId="7161AAEA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Japan Equities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03A16" w14:textId="7E462C7E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Europe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 xml:space="preserve"> Equities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154A" w14:textId="4FE898D7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US Equities</w:t>
            </w:r>
          </w:p>
        </w:tc>
      </w:tr>
      <w:tr w:rsidR="002C608B" w:rsidRPr="009E1D22" w14:paraId="4D366788" w14:textId="77777777" w:rsidTr="004E2460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F484" w14:textId="698FCEE8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Investment objective of Underlying Fund: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B6E4" w14:textId="0BFDC3C3" w:rsidR="000647ED" w:rsidRDefault="003164A3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3164A3">
              <w:rPr>
                <w:rFonts w:asciiTheme="minorHAnsi" w:hAnsiTheme="minorHAnsi" w:cstheme="minorHAnsi"/>
                <w:sz w:val="20"/>
                <w:szCs w:val="20"/>
              </w:rPr>
              <w:t xml:space="preserve">The fund seeks to track the performance of an index composed of emerging markets companies screened for exposure to thermal coal, controversial weapons, tobacco, and other controversial industries. </w:t>
            </w:r>
          </w:p>
          <w:p w14:paraId="214BD826" w14:textId="77777777" w:rsidR="003164A3" w:rsidRDefault="003164A3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544D4A" w14:textId="05779F07" w:rsidR="000647ED" w:rsidRPr="00364855" w:rsidRDefault="00315DF2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0647ED" w:rsidRPr="00C92F9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AD9E" w14:textId="7B8FAEC7" w:rsidR="000647ED" w:rsidRDefault="00556655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56655">
              <w:rPr>
                <w:rFonts w:asciiTheme="minorHAnsi" w:hAnsiTheme="minorHAnsi" w:cstheme="minorHAnsi"/>
                <w:sz w:val="20"/>
                <w:szCs w:val="20"/>
              </w:rPr>
              <w:t>The fund seeks to track the performance of an index composed of Japanese companies screened for exposure to thermal coal, controversial weapons, tobacco, and other controversial industries.</w:t>
            </w:r>
          </w:p>
          <w:p w14:paraId="798309BB" w14:textId="77777777" w:rsidR="000647ED" w:rsidRDefault="000647ED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25C190" w14:textId="417EA0C1" w:rsidR="002C608B" w:rsidRPr="009E1D22" w:rsidRDefault="00315DF2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0647ED" w:rsidRPr="00556655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  <w:r w:rsidR="002C608B" w:rsidRPr="0055665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0C12" w14:textId="6FF8614A" w:rsidR="000647ED" w:rsidRDefault="00556655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556655">
              <w:rPr>
                <w:rFonts w:asciiTheme="minorHAnsi" w:hAnsiTheme="minorHAnsi" w:cstheme="minorHAnsi"/>
                <w:sz w:val="20"/>
                <w:szCs w:val="20"/>
              </w:rPr>
              <w:t xml:space="preserve">The fund seeks to track the performance of an index composed of European companies screened for exposure to thermal coal, controversial weapons, tobacco, and other controversial industries. </w:t>
            </w:r>
          </w:p>
          <w:p w14:paraId="26B95523" w14:textId="77777777" w:rsidR="00556655" w:rsidRDefault="00556655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F7533" w14:textId="328A22B3" w:rsidR="000647ED" w:rsidRPr="00364855" w:rsidRDefault="00315DF2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0647ED" w:rsidRPr="00C92F9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61AA" w14:textId="7BD01AF6" w:rsidR="000647ED" w:rsidRDefault="001D0AD1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r w:rsidRPr="001D0AD1">
              <w:rPr>
                <w:rFonts w:asciiTheme="minorHAnsi" w:hAnsiTheme="minorHAnsi" w:cstheme="minorHAnsi"/>
                <w:sz w:val="20"/>
                <w:szCs w:val="20"/>
              </w:rPr>
              <w:t xml:space="preserve">The fund seeks to track the performance of an index composed of U.S. companies screened for exposure to thermal coal, controversial weapons, tobacco, and other controversial industries. </w:t>
            </w:r>
          </w:p>
          <w:p w14:paraId="79A73D5C" w14:textId="77777777" w:rsidR="001D0AD1" w:rsidRDefault="001D0AD1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FEEBC" w14:textId="1882D686" w:rsidR="000647ED" w:rsidRPr="000647ED" w:rsidRDefault="00315DF2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0647ED" w:rsidRPr="00C92F9D">
                <w:rPr>
                  <w:rStyle w:val="Hyperlink"/>
                  <w:rFonts w:asciiTheme="minorHAnsi" w:eastAsia="Calibri" w:hAnsiTheme="minorHAnsi" w:cstheme="minorHAnsi"/>
                  <w:sz w:val="20"/>
                  <w:szCs w:val="20"/>
                  <w:lang w:val="en-GB"/>
                </w:rPr>
                <w:t>Website link including fact sheet and prospectus</w:t>
              </w:r>
            </w:hyperlink>
          </w:p>
        </w:tc>
      </w:tr>
      <w:tr w:rsidR="002C608B" w:rsidRPr="009E1D22" w14:paraId="25E62D31" w14:textId="77777777" w:rsidTr="004E2460">
        <w:trPr>
          <w:trHeight w:val="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9FF4" w14:textId="4F06B5F2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>Benchmark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GB"/>
              </w:rPr>
              <w:t xml:space="preserve"> Index (Underlying Fund)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1B6D" w14:textId="1124F5F4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hAnsiTheme="minorHAnsi" w:cstheme="minorHAnsi"/>
                <w:sz w:val="20"/>
                <w:szCs w:val="20"/>
              </w:rPr>
              <w:t>MSCI EM IMI ESG Screened Index.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D886" w14:textId="51FC4E7B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hAnsiTheme="minorHAnsi" w:cstheme="minorHAnsi"/>
                <w:sz w:val="20"/>
                <w:szCs w:val="20"/>
              </w:rPr>
              <w:t>MSCI Japan ESG Screened Index.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61CC" w14:textId="02172E89" w:rsidR="002C608B" w:rsidRPr="009E1D22" w:rsidRDefault="002C608B" w:rsidP="00AF4248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MSCI Europe ESG Screened Index.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B622" w14:textId="7D9C7C5F" w:rsidR="002C608B" w:rsidRPr="009E1D22" w:rsidRDefault="00AF4248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M</w:t>
            </w:r>
            <w:r w:rsidR="002C608B"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SCI USA ESG Screened Index.</w:t>
            </w:r>
          </w:p>
        </w:tc>
      </w:tr>
      <w:tr w:rsidR="002C608B" w:rsidRPr="009E1D22" w14:paraId="0EE00A6B" w14:textId="77777777" w:rsidTr="004E2460">
        <w:trPr>
          <w:trHeight w:val="2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D8745" w14:textId="52BB5232" w:rsidR="002C608B" w:rsidRPr="009E1D22" w:rsidRDefault="002C608B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Smartshares Fund 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</w:rPr>
              <w:t>FX Hedging Strategy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4664" w14:textId="2FE61806" w:rsidR="002C608B" w:rsidRPr="009E1D22" w:rsidRDefault="00C926F8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Unhedged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72D8" w14:textId="517A8CAC" w:rsidR="002C608B" w:rsidRPr="009E1D22" w:rsidRDefault="00C926F8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Unhedged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C6E0" w14:textId="1E5AC0F3" w:rsidR="002C608B" w:rsidRPr="009E1D22" w:rsidRDefault="00C926F8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Unhedged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4355" w14:textId="5F693794" w:rsidR="002C608B" w:rsidRPr="009E1D22" w:rsidRDefault="00C926F8" w:rsidP="002C608B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Unhedged</w:t>
            </w:r>
          </w:p>
        </w:tc>
      </w:tr>
      <w:tr w:rsidR="00306555" w:rsidRPr="009E1D22" w14:paraId="22D3F514" w14:textId="77777777" w:rsidTr="004E2460">
        <w:trPr>
          <w:trHeight w:val="31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9688" w14:textId="145706E7" w:rsidR="00306555" w:rsidRPr="009E1D22" w:rsidRDefault="00306555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Total Fund Charges paid by investor: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C66E" w14:textId="67CE0899" w:rsidR="00306555" w:rsidRPr="009E1D22" w:rsidRDefault="00C61C86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59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% p.a.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60CD" w14:textId="78ACE747" w:rsidR="00306555" w:rsidRPr="009E1D22" w:rsidRDefault="00C61C86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</w:t>
            </w:r>
            <w:r w:rsidR="00A74C55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% p.a.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4F19" w14:textId="30C106FE" w:rsidR="00306555" w:rsidRPr="009E1D22" w:rsidRDefault="00C61C86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</w:t>
            </w:r>
            <w:r w:rsidR="00A74C55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5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% p.a.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3585" w14:textId="6BBAD455" w:rsidR="00306555" w:rsidRPr="009E1D22" w:rsidRDefault="00C61C86" w:rsidP="005140F3">
            <w:pPr>
              <w:pStyle w:val="Body"/>
              <w:keepNext/>
              <w:keepLines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0.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34</w:t>
            </w:r>
            <w:r w:rsidRPr="009E1D22"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  <w:t>% p.a.</w:t>
            </w:r>
          </w:p>
        </w:tc>
      </w:tr>
    </w:tbl>
    <w:p w14:paraId="5FAF19A9" w14:textId="77777777" w:rsidR="002D2801" w:rsidRPr="00BD5A47" w:rsidRDefault="002D2801">
      <w:pPr>
        <w:rPr>
          <w:lang w:val="en-GB"/>
        </w:rPr>
      </w:pPr>
    </w:p>
    <w:sectPr w:rsidR="002D2801" w:rsidRPr="00BD5A47" w:rsidSect="00B35D8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DBA8" w14:textId="77777777" w:rsidR="00315DF2" w:rsidRDefault="00315DF2" w:rsidP="0031529C">
      <w:r>
        <w:separator/>
      </w:r>
    </w:p>
  </w:endnote>
  <w:endnote w:type="continuationSeparator" w:id="0">
    <w:p w14:paraId="7CEA144C" w14:textId="77777777" w:rsidR="00315DF2" w:rsidRDefault="00315DF2" w:rsidP="0031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5265A" w14:textId="77777777" w:rsidR="00DC6D7D" w:rsidRPr="000D3F11" w:rsidRDefault="00DC6D7D" w:rsidP="00250802">
    <w:pPr>
      <w:pStyle w:val="Footer"/>
      <w:framePr w:wrap="none" w:vAnchor="text" w:hAnchor="margin" w:xAlign="right" w:y="1"/>
      <w:rPr>
        <w:rStyle w:val="PageNumber"/>
        <w:rFonts w:asciiTheme="majorHAnsi" w:hAnsiTheme="majorHAnsi" w:cstheme="majorHAnsi"/>
        <w:sz w:val="20"/>
        <w:szCs w:val="20"/>
      </w:rPr>
    </w:pPr>
    <w:r w:rsidRPr="000D3F11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0D3F11">
      <w:rPr>
        <w:rStyle w:val="PageNumber"/>
        <w:rFonts w:asciiTheme="majorHAnsi" w:hAnsiTheme="majorHAnsi" w:cstheme="majorHAnsi"/>
        <w:sz w:val="20"/>
        <w:szCs w:val="20"/>
      </w:rPr>
      <w:instrText xml:space="preserve">PAGE  </w:instrText>
    </w:r>
    <w:r w:rsidRPr="000D3F11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  <w:p w14:paraId="022A6973" w14:textId="77777777" w:rsidR="00DC6D7D" w:rsidRPr="000D3F11" w:rsidRDefault="00DC6D7D" w:rsidP="0031529C">
    <w:pPr>
      <w:pStyle w:val="Footer"/>
      <w:ind w:right="360"/>
      <w:rPr>
        <w:rFonts w:asciiTheme="majorHAnsi" w:hAnsiTheme="majorHAnsi" w:cs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9EB" w14:textId="7DCD55EC" w:rsidR="00DC6D7D" w:rsidRPr="000D3F11" w:rsidRDefault="00112BA2" w:rsidP="003C0757">
    <w:pPr>
      <w:pStyle w:val="Footer"/>
      <w:tabs>
        <w:tab w:val="clear" w:pos="4513"/>
        <w:tab w:val="clear" w:pos="9026"/>
        <w:tab w:val="right" w:pos="9020"/>
      </w:tabs>
      <w:ind w:right="-52"/>
      <w:rPr>
        <w:rFonts w:asciiTheme="majorHAnsi" w:hAnsiTheme="majorHAnsi" w:cstheme="majorHAnsi"/>
        <w:sz w:val="20"/>
        <w:szCs w:val="20"/>
      </w:rPr>
    </w:pPr>
    <w:r w:rsidRPr="000D3F11">
      <w:rPr>
        <w:rFonts w:asciiTheme="majorHAnsi" w:hAnsiTheme="majorHAnsi" w:cstheme="majorHAnsi"/>
        <w:sz w:val="20"/>
        <w:szCs w:val="20"/>
      </w:rPr>
      <w:t>Smartshares</w:t>
    </w:r>
    <w:r w:rsidR="00DC6D7D" w:rsidRPr="000D3F11">
      <w:rPr>
        <w:rFonts w:asciiTheme="majorHAnsi" w:hAnsiTheme="majorHAnsi" w:cstheme="majorHAnsi"/>
        <w:sz w:val="20"/>
        <w:szCs w:val="20"/>
      </w:rPr>
      <w:t xml:space="preserve"> Limited</w:t>
    </w:r>
    <w:r w:rsidR="00DC6D7D" w:rsidRPr="000D3F11">
      <w:rPr>
        <w:rFonts w:asciiTheme="majorHAnsi" w:hAnsiTheme="majorHAnsi" w:cstheme="majorHAnsi"/>
        <w:sz w:val="20"/>
        <w:szCs w:val="20"/>
      </w:rPr>
      <w:tab/>
      <w:t xml:space="preserve">Page </w:t>
    </w:r>
    <w:r w:rsidR="00DC6D7D" w:rsidRPr="000D3F11">
      <w:rPr>
        <w:rFonts w:asciiTheme="majorHAnsi" w:hAnsiTheme="majorHAnsi" w:cstheme="majorHAnsi"/>
        <w:sz w:val="20"/>
        <w:szCs w:val="20"/>
      </w:rPr>
      <w:fldChar w:fldCharType="begin"/>
    </w:r>
    <w:r w:rsidR="00DC6D7D" w:rsidRPr="000D3F11">
      <w:rPr>
        <w:rFonts w:asciiTheme="majorHAnsi" w:hAnsiTheme="majorHAnsi" w:cstheme="majorHAnsi"/>
        <w:sz w:val="20"/>
        <w:szCs w:val="20"/>
      </w:rPr>
      <w:instrText xml:space="preserve"> PAGE </w:instrText>
    </w:r>
    <w:r w:rsidR="00DC6D7D" w:rsidRPr="000D3F11">
      <w:rPr>
        <w:rFonts w:asciiTheme="majorHAnsi" w:hAnsiTheme="majorHAnsi" w:cstheme="majorHAnsi"/>
        <w:sz w:val="20"/>
        <w:szCs w:val="20"/>
      </w:rPr>
      <w:fldChar w:fldCharType="separate"/>
    </w:r>
    <w:r w:rsidR="00D53A07">
      <w:rPr>
        <w:rFonts w:asciiTheme="majorHAnsi" w:hAnsiTheme="majorHAnsi" w:cstheme="majorHAnsi"/>
        <w:noProof/>
        <w:sz w:val="20"/>
        <w:szCs w:val="20"/>
      </w:rPr>
      <w:t>7</w:t>
    </w:r>
    <w:r w:rsidR="00DC6D7D" w:rsidRPr="000D3F11">
      <w:rPr>
        <w:rFonts w:asciiTheme="majorHAnsi" w:hAnsiTheme="majorHAnsi" w:cstheme="majorHAnsi"/>
        <w:sz w:val="20"/>
        <w:szCs w:val="20"/>
      </w:rPr>
      <w:fldChar w:fldCharType="end"/>
    </w:r>
    <w:r w:rsidR="00DC6D7D" w:rsidRPr="000D3F11">
      <w:rPr>
        <w:rFonts w:asciiTheme="majorHAnsi" w:hAnsiTheme="majorHAnsi" w:cstheme="majorHAnsi"/>
        <w:sz w:val="20"/>
        <w:szCs w:val="20"/>
      </w:rPr>
      <w:t xml:space="preserve"> of </w:t>
    </w:r>
    <w:r w:rsidR="00DC6D7D" w:rsidRPr="000D3F11">
      <w:rPr>
        <w:rFonts w:asciiTheme="majorHAnsi" w:hAnsiTheme="majorHAnsi" w:cstheme="majorHAnsi"/>
        <w:sz w:val="20"/>
        <w:szCs w:val="20"/>
      </w:rPr>
      <w:fldChar w:fldCharType="begin"/>
    </w:r>
    <w:r w:rsidR="00DC6D7D" w:rsidRPr="000D3F11">
      <w:rPr>
        <w:rFonts w:asciiTheme="majorHAnsi" w:hAnsiTheme="majorHAnsi" w:cstheme="majorHAnsi"/>
        <w:sz w:val="20"/>
        <w:szCs w:val="20"/>
      </w:rPr>
      <w:instrText xml:space="preserve"> NUMPAGES </w:instrText>
    </w:r>
    <w:r w:rsidR="00DC6D7D" w:rsidRPr="000D3F11">
      <w:rPr>
        <w:rFonts w:asciiTheme="majorHAnsi" w:hAnsiTheme="majorHAnsi" w:cstheme="majorHAnsi"/>
        <w:sz w:val="20"/>
        <w:szCs w:val="20"/>
      </w:rPr>
      <w:fldChar w:fldCharType="separate"/>
    </w:r>
    <w:r w:rsidR="00D53A07">
      <w:rPr>
        <w:rFonts w:asciiTheme="majorHAnsi" w:hAnsiTheme="majorHAnsi" w:cstheme="majorHAnsi"/>
        <w:noProof/>
        <w:sz w:val="20"/>
        <w:szCs w:val="20"/>
      </w:rPr>
      <w:t>7</w:t>
    </w:r>
    <w:r w:rsidR="00DC6D7D" w:rsidRPr="000D3F11">
      <w:rPr>
        <w:rFonts w:asciiTheme="majorHAnsi" w:hAnsiTheme="majorHAnsi" w:cstheme="maj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0C28F" w14:textId="77777777" w:rsidR="00315DF2" w:rsidRDefault="00315DF2" w:rsidP="0031529C">
      <w:r>
        <w:separator/>
      </w:r>
    </w:p>
  </w:footnote>
  <w:footnote w:type="continuationSeparator" w:id="0">
    <w:p w14:paraId="3CCF0688" w14:textId="77777777" w:rsidR="00315DF2" w:rsidRDefault="00315DF2" w:rsidP="0031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266B" w14:textId="5919DC52" w:rsidR="00F84E41" w:rsidRDefault="00F84E41" w:rsidP="00F84E41">
    <w:pPr>
      <w:pStyle w:val="Header"/>
    </w:pPr>
    <w:r>
      <w:rPr>
        <w:noProof/>
        <w:sz w:val="32"/>
        <w:szCs w:val="32"/>
        <w:lang w:val="en-NZ" w:eastAsia="en-NZ"/>
      </w:rPr>
      <w:drawing>
        <wp:inline distT="0" distB="0" distL="0" distR="0" wp14:anchorId="2C4B3B1E" wp14:editId="7FD099E5">
          <wp:extent cx="1875934" cy="38570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shar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62" cy="3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sz w:val="32"/>
        <w:szCs w:val="32"/>
        <w:lang w:val="en-NZ" w:eastAsia="en-NZ"/>
      </w:rPr>
      <w:drawing>
        <wp:inline distT="0" distB="0" distL="0" distR="0" wp14:anchorId="6F9C30CE" wp14:editId="24FC8694">
          <wp:extent cx="1150070" cy="412980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hare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932" cy="42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D15"/>
    <w:multiLevelType w:val="hybridMultilevel"/>
    <w:tmpl w:val="63AC5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2F3A"/>
    <w:multiLevelType w:val="hybridMultilevel"/>
    <w:tmpl w:val="14DC9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52CBF"/>
    <w:multiLevelType w:val="multilevel"/>
    <w:tmpl w:val="8DB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63BF"/>
    <w:multiLevelType w:val="multilevel"/>
    <w:tmpl w:val="8DBE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63C21"/>
    <w:multiLevelType w:val="multilevel"/>
    <w:tmpl w:val="E13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72333"/>
    <w:multiLevelType w:val="hybridMultilevel"/>
    <w:tmpl w:val="AA923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27256"/>
    <w:multiLevelType w:val="hybridMultilevel"/>
    <w:tmpl w:val="60D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2462"/>
    <w:multiLevelType w:val="hybridMultilevel"/>
    <w:tmpl w:val="7DBAD312"/>
    <w:lvl w:ilvl="0" w:tplc="90324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97DD0"/>
    <w:multiLevelType w:val="hybridMultilevel"/>
    <w:tmpl w:val="E38058A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18F"/>
    <w:multiLevelType w:val="hybridMultilevel"/>
    <w:tmpl w:val="A3E2B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4446"/>
    <w:multiLevelType w:val="hybridMultilevel"/>
    <w:tmpl w:val="CD6AE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741D9"/>
    <w:multiLevelType w:val="hybridMultilevel"/>
    <w:tmpl w:val="A90832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167A6"/>
    <w:multiLevelType w:val="multilevel"/>
    <w:tmpl w:val="0C521CB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96D0066"/>
    <w:multiLevelType w:val="multilevel"/>
    <w:tmpl w:val="F6445348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5F11A1A"/>
    <w:multiLevelType w:val="multilevel"/>
    <w:tmpl w:val="0AC2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B6F84"/>
    <w:multiLevelType w:val="hybridMultilevel"/>
    <w:tmpl w:val="F1563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146A1"/>
    <w:multiLevelType w:val="hybridMultilevel"/>
    <w:tmpl w:val="0B2CD0BE"/>
    <w:lvl w:ilvl="0" w:tplc="4D4276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B775F"/>
    <w:multiLevelType w:val="hybridMultilevel"/>
    <w:tmpl w:val="7896AB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448B5"/>
    <w:multiLevelType w:val="multilevel"/>
    <w:tmpl w:val="F94EC9B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39150EE"/>
    <w:multiLevelType w:val="hybridMultilevel"/>
    <w:tmpl w:val="B434DF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C041B"/>
    <w:multiLevelType w:val="multilevel"/>
    <w:tmpl w:val="3DA67028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19"/>
  </w:num>
  <w:num w:numId="10">
    <w:abstractNumId w:val="15"/>
  </w:num>
  <w:num w:numId="11">
    <w:abstractNumId w:val="5"/>
  </w:num>
  <w:num w:numId="12">
    <w:abstractNumId w:val="17"/>
  </w:num>
  <w:num w:numId="13">
    <w:abstractNumId w:val="10"/>
  </w:num>
  <w:num w:numId="14">
    <w:abstractNumId w:val="14"/>
  </w:num>
  <w:num w:numId="15">
    <w:abstractNumId w:val="4"/>
  </w:num>
  <w:num w:numId="16">
    <w:abstractNumId w:val="2"/>
  </w:num>
  <w:num w:numId="17">
    <w:abstractNumId w:val="3"/>
  </w:num>
  <w:num w:numId="18">
    <w:abstractNumId w:val="0"/>
  </w:num>
  <w:num w:numId="19">
    <w:abstractNumId w:val="7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F4"/>
    <w:rsid w:val="000062C6"/>
    <w:rsid w:val="000120D3"/>
    <w:rsid w:val="00014B0A"/>
    <w:rsid w:val="00031B45"/>
    <w:rsid w:val="0003386D"/>
    <w:rsid w:val="000419F3"/>
    <w:rsid w:val="000430F6"/>
    <w:rsid w:val="00053CDF"/>
    <w:rsid w:val="00060AB5"/>
    <w:rsid w:val="000647ED"/>
    <w:rsid w:val="00064AAF"/>
    <w:rsid w:val="00074264"/>
    <w:rsid w:val="00077065"/>
    <w:rsid w:val="00082009"/>
    <w:rsid w:val="000A2728"/>
    <w:rsid w:val="000C0BF4"/>
    <w:rsid w:val="000D0A62"/>
    <w:rsid w:val="000D3F11"/>
    <w:rsid w:val="000D78D5"/>
    <w:rsid w:val="000E3986"/>
    <w:rsid w:val="00112BA2"/>
    <w:rsid w:val="00113111"/>
    <w:rsid w:val="001171E8"/>
    <w:rsid w:val="0012405B"/>
    <w:rsid w:val="0013197A"/>
    <w:rsid w:val="00145D83"/>
    <w:rsid w:val="00156690"/>
    <w:rsid w:val="001634B8"/>
    <w:rsid w:val="00173E9D"/>
    <w:rsid w:val="00176D84"/>
    <w:rsid w:val="00182E16"/>
    <w:rsid w:val="00186C12"/>
    <w:rsid w:val="00190697"/>
    <w:rsid w:val="001947E4"/>
    <w:rsid w:val="00194BE1"/>
    <w:rsid w:val="00197B7B"/>
    <w:rsid w:val="001A2033"/>
    <w:rsid w:val="001B13D2"/>
    <w:rsid w:val="001C380C"/>
    <w:rsid w:val="001D0AD1"/>
    <w:rsid w:val="001D26E9"/>
    <w:rsid w:val="001D343A"/>
    <w:rsid w:val="001D67F7"/>
    <w:rsid w:val="001E07E8"/>
    <w:rsid w:val="001E10B5"/>
    <w:rsid w:val="00204113"/>
    <w:rsid w:val="00207D4F"/>
    <w:rsid w:val="00217563"/>
    <w:rsid w:val="00221B2F"/>
    <w:rsid w:val="00221DA7"/>
    <w:rsid w:val="00226B43"/>
    <w:rsid w:val="002277A9"/>
    <w:rsid w:val="002317A7"/>
    <w:rsid w:val="00243AA1"/>
    <w:rsid w:val="0024769B"/>
    <w:rsid w:val="00250802"/>
    <w:rsid w:val="002618BD"/>
    <w:rsid w:val="002800BA"/>
    <w:rsid w:val="0028695B"/>
    <w:rsid w:val="002B0282"/>
    <w:rsid w:val="002B2E1F"/>
    <w:rsid w:val="002B3B25"/>
    <w:rsid w:val="002C431E"/>
    <w:rsid w:val="002C608B"/>
    <w:rsid w:val="002D2801"/>
    <w:rsid w:val="002E3F2E"/>
    <w:rsid w:val="002F18B8"/>
    <w:rsid w:val="002F2542"/>
    <w:rsid w:val="002F33C6"/>
    <w:rsid w:val="002F6102"/>
    <w:rsid w:val="002F6AED"/>
    <w:rsid w:val="00303FAD"/>
    <w:rsid w:val="00306555"/>
    <w:rsid w:val="00307026"/>
    <w:rsid w:val="00312090"/>
    <w:rsid w:val="0031529C"/>
    <w:rsid w:val="00315DF2"/>
    <w:rsid w:val="003164A3"/>
    <w:rsid w:val="00342E64"/>
    <w:rsid w:val="00343766"/>
    <w:rsid w:val="00344FCD"/>
    <w:rsid w:val="00364855"/>
    <w:rsid w:val="003673E0"/>
    <w:rsid w:val="00380AC9"/>
    <w:rsid w:val="003829F5"/>
    <w:rsid w:val="00387CE2"/>
    <w:rsid w:val="003B50CE"/>
    <w:rsid w:val="003C0757"/>
    <w:rsid w:val="003C78D7"/>
    <w:rsid w:val="003E31F3"/>
    <w:rsid w:val="003F54E9"/>
    <w:rsid w:val="00400FBA"/>
    <w:rsid w:val="00402801"/>
    <w:rsid w:val="00406309"/>
    <w:rsid w:val="0042141B"/>
    <w:rsid w:val="00424C53"/>
    <w:rsid w:val="0043224B"/>
    <w:rsid w:val="00432FE2"/>
    <w:rsid w:val="00433DBD"/>
    <w:rsid w:val="00470093"/>
    <w:rsid w:val="00470857"/>
    <w:rsid w:val="00492801"/>
    <w:rsid w:val="004928E9"/>
    <w:rsid w:val="00497DCD"/>
    <w:rsid w:val="004C44C5"/>
    <w:rsid w:val="004E2460"/>
    <w:rsid w:val="004F53E3"/>
    <w:rsid w:val="004F58BC"/>
    <w:rsid w:val="0050528E"/>
    <w:rsid w:val="00507A9D"/>
    <w:rsid w:val="00511E2F"/>
    <w:rsid w:val="0052487E"/>
    <w:rsid w:val="00535E41"/>
    <w:rsid w:val="005413ED"/>
    <w:rsid w:val="005500C6"/>
    <w:rsid w:val="00554751"/>
    <w:rsid w:val="00555B90"/>
    <w:rsid w:val="00555BE8"/>
    <w:rsid w:val="00556655"/>
    <w:rsid w:val="00583E7E"/>
    <w:rsid w:val="00584644"/>
    <w:rsid w:val="00585D06"/>
    <w:rsid w:val="0059365B"/>
    <w:rsid w:val="0059599C"/>
    <w:rsid w:val="005A00B3"/>
    <w:rsid w:val="005A2F24"/>
    <w:rsid w:val="005A2FDC"/>
    <w:rsid w:val="005B6BCB"/>
    <w:rsid w:val="005D392C"/>
    <w:rsid w:val="005E0EE8"/>
    <w:rsid w:val="005F40FC"/>
    <w:rsid w:val="006103AC"/>
    <w:rsid w:val="00611BB8"/>
    <w:rsid w:val="00622A81"/>
    <w:rsid w:val="00632689"/>
    <w:rsid w:val="00637446"/>
    <w:rsid w:val="00645C38"/>
    <w:rsid w:val="00662F0C"/>
    <w:rsid w:val="006644C2"/>
    <w:rsid w:val="00673209"/>
    <w:rsid w:val="00674B0E"/>
    <w:rsid w:val="00676914"/>
    <w:rsid w:val="00677750"/>
    <w:rsid w:val="00693621"/>
    <w:rsid w:val="006A254D"/>
    <w:rsid w:val="006A5C6B"/>
    <w:rsid w:val="006B0ACA"/>
    <w:rsid w:val="006B0F10"/>
    <w:rsid w:val="006C0E4C"/>
    <w:rsid w:val="006C6000"/>
    <w:rsid w:val="006C6CC7"/>
    <w:rsid w:val="006D5411"/>
    <w:rsid w:val="006E22F4"/>
    <w:rsid w:val="006F3E82"/>
    <w:rsid w:val="006F7E92"/>
    <w:rsid w:val="007007DC"/>
    <w:rsid w:val="00704470"/>
    <w:rsid w:val="00714998"/>
    <w:rsid w:val="00716F4A"/>
    <w:rsid w:val="00716FE2"/>
    <w:rsid w:val="00724133"/>
    <w:rsid w:val="0072714B"/>
    <w:rsid w:val="00735ADA"/>
    <w:rsid w:val="00757587"/>
    <w:rsid w:val="00765ECE"/>
    <w:rsid w:val="00770332"/>
    <w:rsid w:val="00774E29"/>
    <w:rsid w:val="00782B50"/>
    <w:rsid w:val="007866E7"/>
    <w:rsid w:val="007922FC"/>
    <w:rsid w:val="007A0E7D"/>
    <w:rsid w:val="007C20AE"/>
    <w:rsid w:val="007E7656"/>
    <w:rsid w:val="00802497"/>
    <w:rsid w:val="008107C9"/>
    <w:rsid w:val="0081794A"/>
    <w:rsid w:val="008224DD"/>
    <w:rsid w:val="00826E2D"/>
    <w:rsid w:val="0082714B"/>
    <w:rsid w:val="00831AA9"/>
    <w:rsid w:val="0083225D"/>
    <w:rsid w:val="00836B16"/>
    <w:rsid w:val="008439E8"/>
    <w:rsid w:val="00850AE5"/>
    <w:rsid w:val="00887FC0"/>
    <w:rsid w:val="0089156C"/>
    <w:rsid w:val="00892ADD"/>
    <w:rsid w:val="008A3AE6"/>
    <w:rsid w:val="008A6425"/>
    <w:rsid w:val="008A7B27"/>
    <w:rsid w:val="008B2CD8"/>
    <w:rsid w:val="008C38C8"/>
    <w:rsid w:val="008D13A1"/>
    <w:rsid w:val="008D303B"/>
    <w:rsid w:val="008E1E97"/>
    <w:rsid w:val="009039E7"/>
    <w:rsid w:val="009138AF"/>
    <w:rsid w:val="00924723"/>
    <w:rsid w:val="00927CC1"/>
    <w:rsid w:val="00943446"/>
    <w:rsid w:val="00947140"/>
    <w:rsid w:val="00964D45"/>
    <w:rsid w:val="00981133"/>
    <w:rsid w:val="00982DE3"/>
    <w:rsid w:val="00986B25"/>
    <w:rsid w:val="00991CBB"/>
    <w:rsid w:val="0099223B"/>
    <w:rsid w:val="00995B57"/>
    <w:rsid w:val="00995BE3"/>
    <w:rsid w:val="00995D51"/>
    <w:rsid w:val="009A5FE2"/>
    <w:rsid w:val="009C1455"/>
    <w:rsid w:val="009C3C1F"/>
    <w:rsid w:val="009C5D58"/>
    <w:rsid w:val="009D0962"/>
    <w:rsid w:val="009D5194"/>
    <w:rsid w:val="009D7D6E"/>
    <w:rsid w:val="009E1D22"/>
    <w:rsid w:val="00A21118"/>
    <w:rsid w:val="00A240E6"/>
    <w:rsid w:val="00A26BA7"/>
    <w:rsid w:val="00A36D78"/>
    <w:rsid w:val="00A43219"/>
    <w:rsid w:val="00A5499C"/>
    <w:rsid w:val="00A60097"/>
    <w:rsid w:val="00A74C55"/>
    <w:rsid w:val="00A9339B"/>
    <w:rsid w:val="00AA0D09"/>
    <w:rsid w:val="00AA678B"/>
    <w:rsid w:val="00AB04C3"/>
    <w:rsid w:val="00AB3E20"/>
    <w:rsid w:val="00AB7298"/>
    <w:rsid w:val="00AC0F77"/>
    <w:rsid w:val="00AC10A1"/>
    <w:rsid w:val="00AC6DF9"/>
    <w:rsid w:val="00AC7829"/>
    <w:rsid w:val="00AC7ED3"/>
    <w:rsid w:val="00AE5280"/>
    <w:rsid w:val="00AF4248"/>
    <w:rsid w:val="00B00B1E"/>
    <w:rsid w:val="00B0283B"/>
    <w:rsid w:val="00B13DD3"/>
    <w:rsid w:val="00B20F08"/>
    <w:rsid w:val="00B23680"/>
    <w:rsid w:val="00B23EB2"/>
    <w:rsid w:val="00B318B5"/>
    <w:rsid w:val="00B35D84"/>
    <w:rsid w:val="00B36280"/>
    <w:rsid w:val="00B55A8A"/>
    <w:rsid w:val="00B57B6B"/>
    <w:rsid w:val="00B66E6C"/>
    <w:rsid w:val="00B72849"/>
    <w:rsid w:val="00B85D07"/>
    <w:rsid w:val="00B94BFB"/>
    <w:rsid w:val="00BB59CA"/>
    <w:rsid w:val="00BB5FA9"/>
    <w:rsid w:val="00BB78B0"/>
    <w:rsid w:val="00BB7EAE"/>
    <w:rsid w:val="00BD0733"/>
    <w:rsid w:val="00BD0786"/>
    <w:rsid w:val="00BD5A47"/>
    <w:rsid w:val="00BD5BF2"/>
    <w:rsid w:val="00BD7774"/>
    <w:rsid w:val="00BF15C9"/>
    <w:rsid w:val="00BF48EE"/>
    <w:rsid w:val="00C02C71"/>
    <w:rsid w:val="00C10AD9"/>
    <w:rsid w:val="00C152BD"/>
    <w:rsid w:val="00C25470"/>
    <w:rsid w:val="00C25E73"/>
    <w:rsid w:val="00C4145F"/>
    <w:rsid w:val="00C43B3E"/>
    <w:rsid w:val="00C45F79"/>
    <w:rsid w:val="00C51606"/>
    <w:rsid w:val="00C52C23"/>
    <w:rsid w:val="00C56859"/>
    <w:rsid w:val="00C6053F"/>
    <w:rsid w:val="00C61C86"/>
    <w:rsid w:val="00C61D15"/>
    <w:rsid w:val="00C7222A"/>
    <w:rsid w:val="00C8390C"/>
    <w:rsid w:val="00C903CF"/>
    <w:rsid w:val="00C926F8"/>
    <w:rsid w:val="00C92F9D"/>
    <w:rsid w:val="00C95CBB"/>
    <w:rsid w:val="00CA5489"/>
    <w:rsid w:val="00CA724E"/>
    <w:rsid w:val="00CE0289"/>
    <w:rsid w:val="00CE3183"/>
    <w:rsid w:val="00CF2A39"/>
    <w:rsid w:val="00CF5CC7"/>
    <w:rsid w:val="00D10116"/>
    <w:rsid w:val="00D10D78"/>
    <w:rsid w:val="00D14F41"/>
    <w:rsid w:val="00D4064E"/>
    <w:rsid w:val="00D53A07"/>
    <w:rsid w:val="00D8681C"/>
    <w:rsid w:val="00DA5AF5"/>
    <w:rsid w:val="00DA7D73"/>
    <w:rsid w:val="00DB207B"/>
    <w:rsid w:val="00DB41AB"/>
    <w:rsid w:val="00DB48B8"/>
    <w:rsid w:val="00DB6B80"/>
    <w:rsid w:val="00DC6D7D"/>
    <w:rsid w:val="00DC7A42"/>
    <w:rsid w:val="00DE0613"/>
    <w:rsid w:val="00DE7D3A"/>
    <w:rsid w:val="00DF3BC3"/>
    <w:rsid w:val="00DF75B9"/>
    <w:rsid w:val="00E0305F"/>
    <w:rsid w:val="00E031B1"/>
    <w:rsid w:val="00E0721D"/>
    <w:rsid w:val="00E11A86"/>
    <w:rsid w:val="00E14B55"/>
    <w:rsid w:val="00E17E51"/>
    <w:rsid w:val="00E26453"/>
    <w:rsid w:val="00E34B24"/>
    <w:rsid w:val="00E40FCB"/>
    <w:rsid w:val="00E4196D"/>
    <w:rsid w:val="00E53D1E"/>
    <w:rsid w:val="00E67CDD"/>
    <w:rsid w:val="00E736AA"/>
    <w:rsid w:val="00E77D49"/>
    <w:rsid w:val="00E84039"/>
    <w:rsid w:val="00E92BA7"/>
    <w:rsid w:val="00EA0DF5"/>
    <w:rsid w:val="00EB3E3F"/>
    <w:rsid w:val="00EB7ABF"/>
    <w:rsid w:val="00EE6036"/>
    <w:rsid w:val="00F03290"/>
    <w:rsid w:val="00F04330"/>
    <w:rsid w:val="00F0614E"/>
    <w:rsid w:val="00F0669C"/>
    <w:rsid w:val="00F07482"/>
    <w:rsid w:val="00F10200"/>
    <w:rsid w:val="00F16C16"/>
    <w:rsid w:val="00F17559"/>
    <w:rsid w:val="00F22105"/>
    <w:rsid w:val="00F451F4"/>
    <w:rsid w:val="00F455EB"/>
    <w:rsid w:val="00F45C8D"/>
    <w:rsid w:val="00F66082"/>
    <w:rsid w:val="00F712C7"/>
    <w:rsid w:val="00F746C8"/>
    <w:rsid w:val="00F74E6B"/>
    <w:rsid w:val="00F8230E"/>
    <w:rsid w:val="00F84E41"/>
    <w:rsid w:val="00F92590"/>
    <w:rsid w:val="00F94B4B"/>
    <w:rsid w:val="00FC6BD4"/>
    <w:rsid w:val="00FD3457"/>
    <w:rsid w:val="00FD78AF"/>
    <w:rsid w:val="00FE785E"/>
    <w:rsid w:val="00FF12BA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FFB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F4"/>
  </w:style>
  <w:style w:type="paragraph" w:styleId="Heading1">
    <w:name w:val="heading 1"/>
    <w:basedOn w:val="Normal"/>
    <w:link w:val="Heading1Char"/>
    <w:uiPriority w:val="9"/>
    <w:qFormat/>
    <w:rsid w:val="002041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451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rsid w:val="00F451F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41">
    <w:name w:val="List 41"/>
    <w:basedOn w:val="NoList"/>
    <w:rsid w:val="00F451F4"/>
    <w:pPr>
      <w:numPr>
        <w:numId w:val="2"/>
      </w:numPr>
    </w:pPr>
  </w:style>
  <w:style w:type="numbering" w:customStyle="1" w:styleId="List51">
    <w:name w:val="List 51"/>
    <w:basedOn w:val="NoList"/>
    <w:rsid w:val="00F451F4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15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29C"/>
  </w:style>
  <w:style w:type="paragraph" w:styleId="Footer">
    <w:name w:val="footer"/>
    <w:basedOn w:val="Normal"/>
    <w:link w:val="FooterChar"/>
    <w:uiPriority w:val="99"/>
    <w:unhideWhenUsed/>
    <w:rsid w:val="00315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29C"/>
  </w:style>
  <w:style w:type="character" w:styleId="PageNumber">
    <w:name w:val="page number"/>
    <w:basedOn w:val="DefaultParagraphFont"/>
    <w:uiPriority w:val="99"/>
    <w:semiHidden/>
    <w:unhideWhenUsed/>
    <w:rsid w:val="0031529C"/>
  </w:style>
  <w:style w:type="paragraph" w:styleId="BalloonText">
    <w:name w:val="Balloon Text"/>
    <w:basedOn w:val="Normal"/>
    <w:link w:val="BalloonTextChar"/>
    <w:uiPriority w:val="99"/>
    <w:semiHidden/>
    <w:unhideWhenUsed/>
    <w:rsid w:val="006326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AE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04113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724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ckrock.com/uk/intermediaries/literature/prospectus/ishare-iii-plc-en-emea-prospectus.pdf" TargetMode="External"/><Relationship Id="rId13" Type="http://schemas.openxmlformats.org/officeDocument/2006/relationships/hyperlink" Target="https://www.ishares.com/uk/individual/en/products/304340/ishares-global-aggregate-bond-ucits-etf-nzd-hedged-acc-fund?switchLocale=y&amp;siteEntryPassthrough=true" TargetMode="External"/><Relationship Id="rId18" Type="http://schemas.openxmlformats.org/officeDocument/2006/relationships/hyperlink" Target="https://www.ishares.com/uk/individual/en/products/305363/ishares-msci-europe-esg-screened-ucits-etf-eur-acc-fun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shares.com/uk/institutional/en/products/305418/ishares-msci-world-esg-screened-ucits-etf-fund?switchLocale=y&amp;siteEntryPassthrough=true" TargetMode="External"/><Relationship Id="rId17" Type="http://schemas.openxmlformats.org/officeDocument/2006/relationships/hyperlink" Target="https://www.ishares.com/uk/individual/en/products/305411/ishares-msci-japan-esg-screened-ucits-etf-fu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hares.com/uk/individual/en/products/305397/ishares-msci-em-imi-esg-screened-ucits-etf-usd-acc-fun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ishares.com/uk/individual/en/products/284216/ishares-healthcare-innovation-ucits-etf-usd-acc-fund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ishares.com/uk/individual/en/products/305357/ishares-msci-usa-esg-screened-ucits-etf-fun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shares.com/uk/individual/en/products/284219/ishares-automation-robotics-ucits-etf-usd-acc-fun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8CD1-2135-4446-BAB6-F54C02B4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Implemented Investment Solutions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Stevens</dc:creator>
  <cp:keywords/>
  <dc:description/>
  <cp:lastModifiedBy>Thomas Bentley</cp:lastModifiedBy>
  <cp:revision>4</cp:revision>
  <cp:lastPrinted>2018-12-02T22:44:00Z</cp:lastPrinted>
  <dcterms:created xsi:type="dcterms:W3CDTF">2019-05-02T20:47:00Z</dcterms:created>
  <dcterms:modified xsi:type="dcterms:W3CDTF">2019-05-02T20:51:00Z</dcterms:modified>
</cp:coreProperties>
</file>